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52BBC" w14:textId="7D07397D" w:rsidR="00EF2D21" w:rsidRPr="004D76E4" w:rsidRDefault="00670E40" w:rsidP="00BF3DB6">
      <w:pPr>
        <w:pStyle w:val="Heading1"/>
        <w:spacing w:line="240" w:lineRule="auto"/>
        <w:jc w:val="center"/>
        <w:rPr>
          <w:rFonts w:ascii="Times New Roman" w:hAnsi="Times New Roman" w:cs="Times New Roman"/>
          <w:color w:val="auto"/>
          <w:sz w:val="24"/>
          <w:szCs w:val="24"/>
          <w:lang w:val="en-US"/>
        </w:rPr>
      </w:pPr>
      <w:r>
        <w:rPr>
          <w:rFonts w:ascii="Times New Roman" w:hAnsi="Times New Roman" w:cs="Times New Roman"/>
          <w:color w:val="auto"/>
          <w:lang w:val="en-US"/>
        </w:rPr>
        <w:t>Industrial Foundations as Long-Term Owners</w:t>
      </w:r>
      <w:r w:rsidR="0050064F" w:rsidRPr="004D76E4">
        <w:rPr>
          <w:rFonts w:ascii="Times New Roman" w:hAnsi="Times New Roman" w:cs="Times New Roman"/>
          <w:color w:val="auto"/>
          <w:lang w:val="en-US"/>
        </w:rPr>
        <w:br/>
      </w:r>
    </w:p>
    <w:p w14:paraId="7D9BA97A" w14:textId="77777777" w:rsidR="004E7BEE" w:rsidRPr="003C11C0" w:rsidRDefault="004E7BEE" w:rsidP="004E7BEE">
      <w:pPr>
        <w:rPr>
          <w:rFonts w:ascii="Times New Roman" w:hAnsi="Times New Roman"/>
          <w:lang w:val="en-US"/>
        </w:rPr>
      </w:pPr>
    </w:p>
    <w:p w14:paraId="57C1B9E2" w14:textId="77777777" w:rsidR="004E7BEE" w:rsidRPr="004D76E4" w:rsidRDefault="004E7BEE" w:rsidP="004E7BEE">
      <w:pPr>
        <w:jc w:val="center"/>
        <w:rPr>
          <w:rFonts w:ascii="Times New Roman" w:hAnsi="Times New Roman" w:cs="Times New Roman"/>
          <w:b/>
          <w:sz w:val="24"/>
          <w:szCs w:val="24"/>
          <w:lang w:val="en-US"/>
        </w:rPr>
      </w:pPr>
      <w:r w:rsidRPr="004D76E4">
        <w:rPr>
          <w:rFonts w:ascii="Times New Roman" w:hAnsi="Times New Roman" w:cs="Times New Roman"/>
          <w:b/>
          <w:sz w:val="24"/>
          <w:szCs w:val="24"/>
          <w:lang w:val="en-US"/>
        </w:rPr>
        <w:t>* WORK IN PROGRESS *</w:t>
      </w:r>
    </w:p>
    <w:p w14:paraId="3E050A03" w14:textId="77777777" w:rsidR="00A37EC0" w:rsidRPr="00C21C9F" w:rsidRDefault="00A37EC0" w:rsidP="004E7BEE">
      <w:pPr>
        <w:jc w:val="center"/>
        <w:rPr>
          <w:rFonts w:ascii="Times New Roman" w:hAnsi="Times New Roman" w:cs="Times New Roman"/>
          <w:b/>
          <w:sz w:val="24"/>
          <w:szCs w:val="24"/>
          <w:lang w:val="en-US"/>
        </w:rPr>
      </w:pPr>
      <w:r w:rsidRPr="002D2AA1">
        <w:rPr>
          <w:rFonts w:ascii="Times New Roman" w:hAnsi="Times New Roman" w:cs="Times New Roman"/>
          <w:b/>
          <w:sz w:val="24"/>
          <w:szCs w:val="24"/>
          <w:lang w:val="en-US"/>
        </w:rPr>
        <w:t>*</w:t>
      </w:r>
      <w:r w:rsidR="008D4914" w:rsidRPr="00C21C9F">
        <w:rPr>
          <w:rFonts w:ascii="Times New Roman" w:hAnsi="Times New Roman" w:cs="Times New Roman"/>
          <w:b/>
          <w:sz w:val="24"/>
          <w:szCs w:val="24"/>
          <w:lang w:val="en-US"/>
        </w:rPr>
        <w:t xml:space="preserve"> Please</w:t>
      </w:r>
      <w:r w:rsidR="00E37708" w:rsidRPr="00C21C9F">
        <w:rPr>
          <w:rFonts w:ascii="Times New Roman" w:hAnsi="Times New Roman" w:cs="Times New Roman"/>
          <w:b/>
          <w:sz w:val="24"/>
          <w:szCs w:val="24"/>
          <w:lang w:val="en-US"/>
        </w:rPr>
        <w:t xml:space="preserve"> d</w:t>
      </w:r>
      <w:r w:rsidRPr="00C21C9F">
        <w:rPr>
          <w:rFonts w:ascii="Times New Roman" w:hAnsi="Times New Roman" w:cs="Times New Roman"/>
          <w:b/>
          <w:sz w:val="24"/>
          <w:szCs w:val="24"/>
          <w:lang w:val="en-US"/>
        </w:rPr>
        <w:t xml:space="preserve">o not quote without permission* </w:t>
      </w:r>
    </w:p>
    <w:p w14:paraId="625DF90B" w14:textId="77777777" w:rsidR="0050064F" w:rsidRPr="006516E0" w:rsidRDefault="0050064F" w:rsidP="0050064F">
      <w:pPr>
        <w:jc w:val="center"/>
        <w:rPr>
          <w:rFonts w:ascii="Times New Roman" w:hAnsi="Times New Roman" w:cs="Times New Roman"/>
          <w:sz w:val="24"/>
          <w:szCs w:val="24"/>
          <w:lang w:val="en-US"/>
        </w:rPr>
      </w:pPr>
    </w:p>
    <w:p w14:paraId="7BAEB2FA" w14:textId="77777777" w:rsidR="004E7BEE" w:rsidRPr="004D76E4" w:rsidRDefault="0050064F" w:rsidP="00B16D9A">
      <w:pPr>
        <w:jc w:val="center"/>
        <w:rPr>
          <w:rFonts w:ascii="Times New Roman" w:hAnsi="Times New Roman" w:cs="Times New Roman"/>
          <w:sz w:val="24"/>
          <w:szCs w:val="24"/>
          <w:lang w:val="en-US"/>
        </w:rPr>
      </w:pPr>
      <w:r w:rsidRPr="004D76E4">
        <w:rPr>
          <w:rFonts w:ascii="Times New Roman" w:hAnsi="Times New Roman" w:cs="Times New Roman"/>
          <w:sz w:val="24"/>
          <w:szCs w:val="24"/>
          <w:lang w:val="en-US"/>
        </w:rPr>
        <w:t>Christa Børsting</w:t>
      </w:r>
      <w:r w:rsidRPr="004D76E4">
        <w:rPr>
          <w:rStyle w:val="FootnoteReference"/>
          <w:rFonts w:ascii="Times New Roman" w:hAnsi="Times New Roman" w:cs="Times New Roman"/>
          <w:sz w:val="24"/>
          <w:szCs w:val="24"/>
          <w:lang w:val="en-US"/>
        </w:rPr>
        <w:footnoteReference w:id="1"/>
      </w:r>
    </w:p>
    <w:p w14:paraId="7815219E" w14:textId="77777777" w:rsidR="00EF2D21" w:rsidRPr="004D76E4" w:rsidRDefault="00EF2D21" w:rsidP="00B16D9A">
      <w:pPr>
        <w:jc w:val="center"/>
        <w:rPr>
          <w:rFonts w:ascii="Times New Roman" w:hAnsi="Times New Roman" w:cs="Times New Roman"/>
          <w:sz w:val="24"/>
          <w:szCs w:val="24"/>
          <w:lang w:val="en-US"/>
        </w:rPr>
      </w:pPr>
      <w:r w:rsidRPr="004D76E4">
        <w:rPr>
          <w:rFonts w:ascii="Times New Roman" w:hAnsi="Times New Roman" w:cs="Times New Roman"/>
          <w:sz w:val="24"/>
          <w:szCs w:val="24"/>
          <w:lang w:val="en-US"/>
        </w:rPr>
        <w:t>Johan Kuhn</w:t>
      </w:r>
      <w:r w:rsidRPr="004D76E4">
        <w:rPr>
          <w:rStyle w:val="FootnoteReference"/>
          <w:rFonts w:ascii="Times New Roman" w:hAnsi="Times New Roman" w:cs="Times New Roman"/>
          <w:sz w:val="24"/>
          <w:szCs w:val="24"/>
          <w:lang w:val="en-US"/>
        </w:rPr>
        <w:footnoteReference w:id="2"/>
      </w:r>
    </w:p>
    <w:p w14:paraId="5DB7B3E4" w14:textId="77777777" w:rsidR="00EF2D21" w:rsidRPr="004D76E4" w:rsidRDefault="00EF2D21" w:rsidP="00B16D9A">
      <w:pPr>
        <w:jc w:val="center"/>
        <w:rPr>
          <w:rFonts w:ascii="Times New Roman" w:hAnsi="Times New Roman" w:cs="Times New Roman"/>
          <w:sz w:val="24"/>
          <w:szCs w:val="24"/>
          <w:lang w:val="en-US"/>
        </w:rPr>
      </w:pPr>
      <w:r w:rsidRPr="004D76E4">
        <w:rPr>
          <w:rFonts w:ascii="Times New Roman" w:hAnsi="Times New Roman" w:cs="Times New Roman"/>
          <w:sz w:val="24"/>
          <w:szCs w:val="24"/>
          <w:lang w:val="en-US"/>
        </w:rPr>
        <w:t>Thomas Poulsen</w:t>
      </w:r>
      <w:r w:rsidRPr="004D76E4">
        <w:rPr>
          <w:rStyle w:val="FootnoteReference"/>
          <w:rFonts w:ascii="Times New Roman" w:hAnsi="Times New Roman" w:cs="Times New Roman"/>
          <w:sz w:val="24"/>
          <w:szCs w:val="24"/>
        </w:rPr>
        <w:footnoteReference w:id="3"/>
      </w:r>
    </w:p>
    <w:p w14:paraId="1D590C3C" w14:textId="77777777" w:rsidR="00376E3F" w:rsidRPr="004D76E4" w:rsidRDefault="00376E3F" w:rsidP="00376E3F">
      <w:pPr>
        <w:jc w:val="center"/>
        <w:rPr>
          <w:rFonts w:ascii="Times New Roman" w:hAnsi="Times New Roman" w:cs="Times New Roman"/>
          <w:sz w:val="24"/>
          <w:szCs w:val="24"/>
          <w:lang w:val="en-US"/>
        </w:rPr>
      </w:pPr>
      <w:r w:rsidRPr="00944612">
        <w:rPr>
          <w:rFonts w:ascii="Times New Roman" w:hAnsi="Times New Roman" w:cs="Times New Roman"/>
          <w:sz w:val="24"/>
          <w:szCs w:val="24"/>
          <w:lang w:val="en-US"/>
        </w:rPr>
        <w:t>Steen Thomsen</w:t>
      </w:r>
      <w:r w:rsidRPr="004D76E4">
        <w:rPr>
          <w:rStyle w:val="FootnoteReference"/>
          <w:rFonts w:ascii="Times New Roman" w:hAnsi="Times New Roman" w:cs="Times New Roman"/>
          <w:sz w:val="24"/>
          <w:szCs w:val="24"/>
          <w:lang w:val="en-US"/>
        </w:rPr>
        <w:footnoteReference w:id="4"/>
      </w:r>
    </w:p>
    <w:p w14:paraId="6B7D17A7" w14:textId="77777777" w:rsidR="00EF2D21" w:rsidRPr="002D2AA1" w:rsidRDefault="00EF2D21" w:rsidP="00B16D9A">
      <w:pPr>
        <w:jc w:val="center"/>
        <w:rPr>
          <w:rFonts w:ascii="Times New Roman" w:hAnsi="Times New Roman" w:cs="Times New Roman"/>
          <w:sz w:val="24"/>
          <w:szCs w:val="24"/>
          <w:lang w:val="en-US"/>
        </w:rPr>
      </w:pPr>
    </w:p>
    <w:p w14:paraId="39015C1A" w14:textId="77777777" w:rsidR="00EF2D21" w:rsidRPr="00C21C9F" w:rsidRDefault="00EF2D21" w:rsidP="00B16D9A">
      <w:pPr>
        <w:jc w:val="center"/>
        <w:rPr>
          <w:rFonts w:ascii="Times New Roman" w:hAnsi="Times New Roman" w:cs="Times New Roman"/>
          <w:sz w:val="24"/>
          <w:szCs w:val="24"/>
          <w:lang w:val="en-US"/>
        </w:rPr>
      </w:pPr>
      <w:r w:rsidRPr="00C21C9F">
        <w:rPr>
          <w:rFonts w:ascii="Times New Roman" w:hAnsi="Times New Roman" w:cs="Times New Roman"/>
          <w:sz w:val="24"/>
          <w:szCs w:val="24"/>
          <w:lang w:val="en-US"/>
        </w:rPr>
        <w:t>Center for Corporate Governance</w:t>
      </w:r>
    </w:p>
    <w:p w14:paraId="043723CC" w14:textId="77777777" w:rsidR="00EF2D21" w:rsidRPr="006516E0" w:rsidRDefault="00EF2D21" w:rsidP="00B16D9A">
      <w:pPr>
        <w:jc w:val="center"/>
        <w:rPr>
          <w:rFonts w:ascii="Times New Roman" w:hAnsi="Times New Roman" w:cs="Times New Roman"/>
          <w:sz w:val="24"/>
          <w:szCs w:val="24"/>
          <w:lang w:val="en-US"/>
        </w:rPr>
      </w:pPr>
      <w:r w:rsidRPr="006516E0">
        <w:rPr>
          <w:rFonts w:ascii="Times New Roman" w:hAnsi="Times New Roman" w:cs="Times New Roman"/>
          <w:sz w:val="24"/>
          <w:szCs w:val="24"/>
          <w:lang w:val="en-US"/>
        </w:rPr>
        <w:t>Copenhagen Business School</w:t>
      </w:r>
    </w:p>
    <w:p w14:paraId="5264EE20" w14:textId="193567D9" w:rsidR="00EF2D21" w:rsidRPr="004D76E4" w:rsidRDefault="00EF2D21" w:rsidP="00B16D9A">
      <w:pPr>
        <w:jc w:val="center"/>
        <w:rPr>
          <w:rFonts w:ascii="Times New Roman" w:hAnsi="Times New Roman" w:cs="Times New Roman"/>
          <w:sz w:val="24"/>
          <w:szCs w:val="24"/>
          <w:lang w:val="en-US"/>
        </w:rPr>
      </w:pPr>
      <w:r w:rsidRPr="004D76E4">
        <w:rPr>
          <w:rFonts w:ascii="Times New Roman" w:hAnsi="Times New Roman" w:cs="Times New Roman"/>
          <w:sz w:val="24"/>
          <w:szCs w:val="24"/>
        </w:rPr>
        <w:fldChar w:fldCharType="begin"/>
      </w:r>
      <w:r w:rsidRPr="004D76E4">
        <w:rPr>
          <w:rFonts w:ascii="Times New Roman" w:hAnsi="Times New Roman" w:cs="Times New Roman"/>
          <w:sz w:val="24"/>
          <w:szCs w:val="24"/>
          <w:lang w:val="en-US"/>
        </w:rPr>
        <w:instrText xml:space="preserve"> DATE \@ "d MMMM yyyy" </w:instrText>
      </w:r>
      <w:r w:rsidRPr="004D76E4">
        <w:rPr>
          <w:rFonts w:ascii="Times New Roman" w:hAnsi="Times New Roman" w:cs="Times New Roman"/>
          <w:sz w:val="24"/>
          <w:szCs w:val="24"/>
        </w:rPr>
        <w:fldChar w:fldCharType="separate"/>
      </w:r>
      <w:r w:rsidR="00085CC9">
        <w:rPr>
          <w:rFonts w:ascii="Times New Roman" w:hAnsi="Times New Roman" w:cs="Times New Roman"/>
          <w:noProof/>
          <w:sz w:val="24"/>
          <w:szCs w:val="24"/>
          <w:lang w:val="en-US"/>
        </w:rPr>
        <w:t>30 May 2014</w:t>
      </w:r>
      <w:r w:rsidRPr="004D76E4">
        <w:rPr>
          <w:rFonts w:ascii="Times New Roman" w:hAnsi="Times New Roman" w:cs="Times New Roman"/>
          <w:sz w:val="24"/>
          <w:szCs w:val="24"/>
        </w:rPr>
        <w:fldChar w:fldCharType="end"/>
      </w:r>
    </w:p>
    <w:p w14:paraId="05101121" w14:textId="77777777" w:rsidR="00EF2D21" w:rsidRPr="002D2AA1" w:rsidRDefault="00EF2D21" w:rsidP="00B16D9A">
      <w:pPr>
        <w:jc w:val="both"/>
        <w:rPr>
          <w:rFonts w:ascii="Times New Roman" w:hAnsi="Times New Roman" w:cs="Times New Roman"/>
          <w:sz w:val="24"/>
          <w:szCs w:val="24"/>
          <w:lang w:val="en-US"/>
        </w:rPr>
      </w:pPr>
    </w:p>
    <w:p w14:paraId="546DC7C0" w14:textId="77777777" w:rsidR="00EF2D21" w:rsidRPr="00C21C9F" w:rsidRDefault="00EF2D21" w:rsidP="00B16D9A">
      <w:pPr>
        <w:jc w:val="both"/>
        <w:rPr>
          <w:rFonts w:ascii="Times New Roman" w:hAnsi="Times New Roman" w:cs="Times New Roman"/>
          <w:sz w:val="24"/>
          <w:szCs w:val="24"/>
          <w:lang w:val="en-US"/>
        </w:rPr>
      </w:pPr>
    </w:p>
    <w:p w14:paraId="1294E366" w14:textId="77777777" w:rsidR="00EF2D21" w:rsidRPr="006516E0" w:rsidRDefault="00EF2D21" w:rsidP="00B16D9A">
      <w:pPr>
        <w:jc w:val="both"/>
        <w:rPr>
          <w:rFonts w:ascii="Times New Roman" w:hAnsi="Times New Roman" w:cs="Times New Roman"/>
          <w:sz w:val="24"/>
          <w:szCs w:val="24"/>
          <w:lang w:val="en-US"/>
        </w:rPr>
      </w:pPr>
      <w:r w:rsidRPr="006516E0">
        <w:rPr>
          <w:rFonts w:ascii="Times New Roman" w:hAnsi="Times New Roman" w:cs="Times New Roman"/>
          <w:sz w:val="24"/>
          <w:szCs w:val="24"/>
          <w:lang w:val="en-US"/>
        </w:rPr>
        <w:br w:type="page"/>
      </w:r>
    </w:p>
    <w:p w14:paraId="74E480F1" w14:textId="77777777" w:rsidR="00EF2D21" w:rsidRPr="006516E0" w:rsidRDefault="00EF2D21" w:rsidP="00B16D9A">
      <w:pPr>
        <w:jc w:val="both"/>
        <w:rPr>
          <w:rFonts w:ascii="Times New Roman" w:hAnsi="Times New Roman" w:cs="Times New Roman"/>
          <w:sz w:val="24"/>
          <w:szCs w:val="24"/>
          <w:lang w:val="en-US"/>
        </w:rPr>
      </w:pPr>
    </w:p>
    <w:p w14:paraId="7D3382ED" w14:textId="77777777" w:rsidR="00EF2D21" w:rsidRPr="00944612" w:rsidRDefault="00EF2D21" w:rsidP="00B16D9A">
      <w:pPr>
        <w:jc w:val="both"/>
        <w:rPr>
          <w:rFonts w:ascii="Times New Roman" w:hAnsi="Times New Roman" w:cs="Times New Roman"/>
          <w:sz w:val="24"/>
          <w:szCs w:val="24"/>
          <w:lang w:val="en-US"/>
        </w:rPr>
      </w:pPr>
    </w:p>
    <w:p w14:paraId="3C32B529" w14:textId="77777777" w:rsidR="001F4068" w:rsidRPr="007A4EB5" w:rsidRDefault="001F4068" w:rsidP="00B16D9A">
      <w:pPr>
        <w:jc w:val="both"/>
        <w:rPr>
          <w:rFonts w:ascii="Times New Roman" w:hAnsi="Times New Roman" w:cs="Times New Roman"/>
          <w:b/>
          <w:sz w:val="24"/>
          <w:szCs w:val="24"/>
          <w:lang w:val="en-US"/>
        </w:rPr>
      </w:pPr>
    </w:p>
    <w:p w14:paraId="005CB180" w14:textId="77777777" w:rsidR="001F4068" w:rsidRPr="00720F18" w:rsidRDefault="001F4068" w:rsidP="00B16D9A">
      <w:pPr>
        <w:jc w:val="both"/>
        <w:rPr>
          <w:rFonts w:ascii="Times New Roman" w:hAnsi="Times New Roman" w:cs="Times New Roman"/>
          <w:b/>
          <w:sz w:val="24"/>
          <w:szCs w:val="24"/>
          <w:lang w:val="en-US"/>
        </w:rPr>
      </w:pPr>
    </w:p>
    <w:p w14:paraId="7F123989" w14:textId="77777777" w:rsidR="00EF2D21" w:rsidRPr="00E97BE5" w:rsidRDefault="00EF2D21" w:rsidP="001F4068">
      <w:pPr>
        <w:ind w:left="2608" w:firstLine="1304"/>
        <w:jc w:val="both"/>
        <w:rPr>
          <w:rFonts w:ascii="Times New Roman" w:hAnsi="Times New Roman" w:cs="Times New Roman"/>
          <w:b/>
          <w:sz w:val="24"/>
          <w:szCs w:val="24"/>
          <w:lang w:val="en-US"/>
        </w:rPr>
      </w:pPr>
      <w:r w:rsidRPr="00E97BE5">
        <w:rPr>
          <w:rFonts w:ascii="Times New Roman" w:hAnsi="Times New Roman" w:cs="Times New Roman"/>
          <w:b/>
          <w:sz w:val="24"/>
          <w:szCs w:val="24"/>
          <w:lang w:val="en-US"/>
        </w:rPr>
        <w:t>Abstract</w:t>
      </w:r>
    </w:p>
    <w:p w14:paraId="79364C41" w14:textId="292F06E1" w:rsidR="00EF2D21" w:rsidRPr="006C34DD" w:rsidRDefault="00DC57DE" w:rsidP="00B16D9A">
      <w:pPr>
        <w:jc w:val="both"/>
        <w:rPr>
          <w:rFonts w:ascii="Times New Roman" w:hAnsi="Times New Roman" w:cs="Times New Roman"/>
          <w:sz w:val="24"/>
          <w:szCs w:val="24"/>
          <w:lang w:val="en-US"/>
        </w:rPr>
      </w:pPr>
      <w:r w:rsidRPr="00EF7407">
        <w:rPr>
          <w:rFonts w:ascii="Times New Roman" w:hAnsi="Times New Roman" w:cs="Times New Roman"/>
          <w:sz w:val="24"/>
          <w:szCs w:val="24"/>
          <w:lang w:val="en-US"/>
        </w:rPr>
        <w:t>We study Danish industrial foundations</w:t>
      </w:r>
      <w:r w:rsidR="00CE2784">
        <w:rPr>
          <w:rFonts w:ascii="Times New Roman" w:hAnsi="Times New Roman" w:cs="Times New Roman"/>
          <w:sz w:val="24"/>
          <w:szCs w:val="24"/>
          <w:lang w:val="en-US"/>
        </w:rPr>
        <w:t xml:space="preserve"> as</w:t>
      </w:r>
      <w:r w:rsidRPr="00EF7407">
        <w:rPr>
          <w:rFonts w:ascii="Times New Roman" w:hAnsi="Times New Roman" w:cs="Times New Roman"/>
          <w:sz w:val="24"/>
          <w:szCs w:val="24"/>
          <w:lang w:val="en-US"/>
        </w:rPr>
        <w:t xml:space="preserve"> long</w:t>
      </w:r>
      <w:r w:rsidR="00CE2784">
        <w:rPr>
          <w:rFonts w:ascii="Times New Roman" w:hAnsi="Times New Roman" w:cs="Times New Roman"/>
          <w:sz w:val="24"/>
          <w:szCs w:val="24"/>
          <w:lang w:val="en-US"/>
        </w:rPr>
        <w:t>-</w:t>
      </w:r>
      <w:r w:rsidRPr="00EF7407">
        <w:rPr>
          <w:rFonts w:ascii="Times New Roman" w:hAnsi="Times New Roman" w:cs="Times New Roman"/>
          <w:sz w:val="24"/>
          <w:szCs w:val="24"/>
          <w:lang w:val="en-US"/>
        </w:rPr>
        <w:t>term owners</w:t>
      </w:r>
      <w:r w:rsidR="00CE2784">
        <w:rPr>
          <w:rFonts w:ascii="Times New Roman" w:hAnsi="Times New Roman" w:cs="Times New Roman"/>
          <w:sz w:val="24"/>
          <w:szCs w:val="24"/>
          <w:lang w:val="en-US"/>
        </w:rPr>
        <w:t xml:space="preserve"> of business companies</w:t>
      </w:r>
      <w:r w:rsidRPr="00EF7407">
        <w:rPr>
          <w:rFonts w:ascii="Times New Roman" w:hAnsi="Times New Roman" w:cs="Times New Roman"/>
          <w:sz w:val="24"/>
          <w:szCs w:val="24"/>
          <w:lang w:val="en-US"/>
        </w:rPr>
        <w:t xml:space="preserve">. </w:t>
      </w:r>
      <w:r w:rsidR="001B566E">
        <w:rPr>
          <w:rFonts w:ascii="Times New Roman" w:hAnsi="Times New Roman" w:cs="Times New Roman"/>
          <w:sz w:val="24"/>
          <w:szCs w:val="24"/>
          <w:lang w:val="en-US"/>
        </w:rPr>
        <w:t xml:space="preserve"> We document </w:t>
      </w:r>
      <w:r w:rsidRPr="00EF7407">
        <w:rPr>
          <w:rFonts w:ascii="Times New Roman" w:hAnsi="Times New Roman" w:cs="Times New Roman"/>
          <w:sz w:val="24"/>
          <w:szCs w:val="24"/>
          <w:lang w:val="en-US"/>
        </w:rPr>
        <w:t xml:space="preserve">that </w:t>
      </w:r>
      <w:r w:rsidR="00CE2784">
        <w:rPr>
          <w:rFonts w:ascii="Times New Roman" w:hAnsi="Times New Roman" w:cs="Times New Roman"/>
          <w:sz w:val="24"/>
          <w:szCs w:val="24"/>
          <w:lang w:val="en-US"/>
        </w:rPr>
        <w:t>foundation</w:t>
      </w:r>
      <w:r w:rsidR="00E144F4">
        <w:rPr>
          <w:rFonts w:ascii="Times New Roman" w:hAnsi="Times New Roman" w:cs="Times New Roman"/>
          <w:sz w:val="24"/>
          <w:szCs w:val="24"/>
          <w:lang w:val="en-US"/>
        </w:rPr>
        <w:t xml:space="preserve"> ownership</w:t>
      </w:r>
      <w:r w:rsidR="00CE2784">
        <w:rPr>
          <w:rFonts w:ascii="Times New Roman" w:hAnsi="Times New Roman" w:cs="Times New Roman"/>
          <w:sz w:val="24"/>
          <w:szCs w:val="24"/>
          <w:lang w:val="en-US"/>
        </w:rPr>
        <w:t xml:space="preserve"> </w:t>
      </w:r>
      <w:r w:rsidR="00E144F4">
        <w:rPr>
          <w:rFonts w:ascii="Times New Roman" w:hAnsi="Times New Roman" w:cs="Times New Roman"/>
          <w:sz w:val="24"/>
          <w:szCs w:val="24"/>
          <w:lang w:val="en-US"/>
        </w:rPr>
        <w:t>is more stable compared to other ownership structure. Moreover foundation-owned companies are more conservatively financed, and they have higher survival rates.</w:t>
      </w:r>
    </w:p>
    <w:p w14:paraId="497C6A30" w14:textId="39C1BA67" w:rsidR="00F04CC8" w:rsidRPr="004D76E4" w:rsidRDefault="00EF2D21" w:rsidP="00FC1626">
      <w:pPr>
        <w:jc w:val="both"/>
        <w:rPr>
          <w:rFonts w:ascii="Times New Roman" w:hAnsi="Times New Roman" w:cs="Times New Roman"/>
          <w:b/>
          <w:sz w:val="24"/>
          <w:szCs w:val="24"/>
          <w:lang w:val="en-US"/>
        </w:rPr>
      </w:pPr>
      <w:r w:rsidRPr="00BB6775">
        <w:rPr>
          <w:rFonts w:ascii="Times New Roman" w:hAnsi="Times New Roman" w:cs="Times New Roman"/>
          <w:b/>
          <w:sz w:val="24"/>
          <w:szCs w:val="24"/>
          <w:lang w:val="en-US"/>
        </w:rPr>
        <w:br w:type="page"/>
      </w:r>
      <w:r w:rsidR="00FC1626" w:rsidRPr="00BB6775">
        <w:rPr>
          <w:rFonts w:ascii="Times New Roman" w:hAnsi="Times New Roman" w:cs="Times New Roman"/>
          <w:b/>
          <w:sz w:val="24"/>
          <w:szCs w:val="24"/>
          <w:lang w:val="en-US"/>
        </w:rPr>
        <w:lastRenderedPageBreak/>
        <w:t xml:space="preserve">1. </w:t>
      </w:r>
      <w:r w:rsidRPr="004D76E4">
        <w:rPr>
          <w:rFonts w:ascii="Times New Roman" w:hAnsi="Times New Roman" w:cs="Times New Roman"/>
          <w:b/>
          <w:sz w:val="24"/>
          <w:szCs w:val="24"/>
          <w:lang w:val="en-US"/>
        </w:rPr>
        <w:t>Introduction</w:t>
      </w:r>
    </w:p>
    <w:p w14:paraId="45029299" w14:textId="47DE0079" w:rsidR="00F04CC8" w:rsidRPr="004D76E4" w:rsidRDefault="00D22DFB" w:rsidP="00FC1626">
      <w:pPr>
        <w:jc w:val="both"/>
        <w:rPr>
          <w:rFonts w:ascii="Times New Roman" w:hAnsi="Times New Roman" w:cs="Times New Roman"/>
          <w:sz w:val="24"/>
          <w:szCs w:val="24"/>
          <w:lang w:val="en-US"/>
        </w:rPr>
      </w:pPr>
      <w:r>
        <w:rPr>
          <w:rFonts w:ascii="Times New Roman" w:hAnsi="Times New Roman" w:cs="Times New Roman"/>
          <w:sz w:val="24"/>
          <w:szCs w:val="24"/>
          <w:lang w:val="en-US"/>
        </w:rPr>
        <w:t>Following</w:t>
      </w:r>
      <w:r w:rsidR="00376E3F">
        <w:rPr>
          <w:rFonts w:ascii="Times New Roman" w:hAnsi="Times New Roman" w:cs="Times New Roman"/>
          <w:sz w:val="24"/>
          <w:szCs w:val="24"/>
          <w:lang w:val="en-US"/>
        </w:rPr>
        <w:t xml:space="preserve"> the financial crisis </w:t>
      </w:r>
      <w:r w:rsidR="0094772E">
        <w:rPr>
          <w:rFonts w:ascii="Times New Roman" w:hAnsi="Times New Roman" w:cs="Times New Roman"/>
          <w:sz w:val="24"/>
          <w:szCs w:val="24"/>
          <w:lang w:val="en-US"/>
        </w:rPr>
        <w:t>of 2008</w:t>
      </w:r>
      <w:r>
        <w:rPr>
          <w:rFonts w:ascii="Times New Roman" w:hAnsi="Times New Roman" w:cs="Times New Roman"/>
          <w:sz w:val="24"/>
          <w:szCs w:val="24"/>
          <w:lang w:val="en-US"/>
        </w:rPr>
        <w:t>,</w:t>
      </w:r>
      <w:r w:rsidR="0094772E">
        <w:rPr>
          <w:rFonts w:ascii="Times New Roman" w:hAnsi="Times New Roman" w:cs="Times New Roman"/>
          <w:sz w:val="24"/>
          <w:szCs w:val="24"/>
          <w:lang w:val="en-US"/>
        </w:rPr>
        <w:t xml:space="preserve"> stock markets and business companies </w:t>
      </w:r>
      <w:r>
        <w:rPr>
          <w:rFonts w:ascii="Times New Roman" w:hAnsi="Times New Roman" w:cs="Times New Roman"/>
          <w:sz w:val="24"/>
          <w:szCs w:val="24"/>
          <w:lang w:val="en-US"/>
        </w:rPr>
        <w:t>are increasingly being criticized for</w:t>
      </w:r>
      <w:r w:rsidR="00376E3F">
        <w:rPr>
          <w:rFonts w:ascii="Times New Roman" w:hAnsi="Times New Roman" w:cs="Times New Roman"/>
          <w:sz w:val="24"/>
          <w:szCs w:val="24"/>
          <w:lang w:val="en-US"/>
        </w:rPr>
        <w:t xml:space="preserve"> </w:t>
      </w:r>
      <w:r w:rsidRPr="00BF3DB6">
        <w:rPr>
          <w:rFonts w:ascii="Times New Roman" w:hAnsi="Times New Roman" w:cs="Times New Roman"/>
          <w:i/>
          <w:sz w:val="24"/>
          <w:szCs w:val="24"/>
          <w:lang w:val="en-US"/>
        </w:rPr>
        <w:t>“</w:t>
      </w:r>
      <w:proofErr w:type="spellStart"/>
      <w:r w:rsidR="00F04CC8" w:rsidRPr="00BF3DB6">
        <w:rPr>
          <w:rFonts w:ascii="Times New Roman" w:hAnsi="Times New Roman" w:cs="Times New Roman"/>
          <w:i/>
          <w:sz w:val="24"/>
          <w:szCs w:val="24"/>
          <w:lang w:val="en-US"/>
        </w:rPr>
        <w:t>shorttermism</w:t>
      </w:r>
      <w:proofErr w:type="spellEnd"/>
      <w:r w:rsidRPr="00BF3DB6">
        <w:rPr>
          <w:rFonts w:ascii="Times New Roman" w:hAnsi="Times New Roman" w:cs="Times New Roman"/>
          <w:i/>
          <w:sz w:val="24"/>
          <w:szCs w:val="24"/>
          <w:lang w:val="en-US"/>
        </w:rPr>
        <w:t>”</w:t>
      </w:r>
      <w:r w:rsidR="007F6227" w:rsidRPr="004D76E4">
        <w:rPr>
          <w:rFonts w:ascii="Times New Roman" w:hAnsi="Times New Roman" w:cs="Times New Roman"/>
          <w:sz w:val="24"/>
          <w:szCs w:val="24"/>
          <w:lang w:val="en-US"/>
        </w:rPr>
        <w:t xml:space="preserve"> (</w:t>
      </w:r>
      <w:r w:rsidR="002D76EE" w:rsidRPr="004D76E4">
        <w:rPr>
          <w:rFonts w:ascii="Times New Roman" w:hAnsi="Times New Roman" w:cs="Times New Roman"/>
          <w:sz w:val="24"/>
          <w:szCs w:val="24"/>
          <w:lang w:val="en-US"/>
        </w:rPr>
        <w:t xml:space="preserve">Phelps 2010, </w:t>
      </w:r>
      <w:r w:rsidR="007F6227" w:rsidRPr="004D76E4">
        <w:rPr>
          <w:rFonts w:ascii="Times New Roman" w:hAnsi="Times New Roman" w:cs="Times New Roman"/>
          <w:sz w:val="24"/>
          <w:szCs w:val="24"/>
          <w:lang w:val="en-US"/>
        </w:rPr>
        <w:t>Bair 2011, Roe 2013)</w:t>
      </w:r>
      <w:r w:rsidR="000B0CBF" w:rsidRPr="004D76E4">
        <w:rPr>
          <w:rFonts w:ascii="Times New Roman" w:hAnsi="Times New Roman" w:cs="Times New Roman"/>
          <w:sz w:val="24"/>
          <w:szCs w:val="24"/>
          <w:lang w:val="en-US"/>
        </w:rPr>
        <w:t xml:space="preserve">.  </w:t>
      </w:r>
    </w:p>
    <w:p w14:paraId="7662FBB5" w14:textId="2AC50C22" w:rsidR="00D22DFB" w:rsidRDefault="00A46ABF" w:rsidP="00FC162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Theoretically, </w:t>
      </w:r>
      <w:proofErr w:type="spellStart"/>
      <w:r>
        <w:rPr>
          <w:rFonts w:ascii="Times New Roman" w:hAnsi="Times New Roman" w:cs="Times New Roman"/>
          <w:sz w:val="24"/>
          <w:szCs w:val="24"/>
          <w:lang w:val="en-US"/>
        </w:rPr>
        <w:t>s</w:t>
      </w:r>
      <w:r w:rsidR="004E3540" w:rsidRPr="004D76E4">
        <w:rPr>
          <w:rFonts w:ascii="Times New Roman" w:hAnsi="Times New Roman" w:cs="Times New Roman"/>
          <w:sz w:val="24"/>
          <w:szCs w:val="24"/>
          <w:lang w:val="en-US"/>
        </w:rPr>
        <w:t>horttermism</w:t>
      </w:r>
      <w:proofErr w:type="spellEnd"/>
      <w:r w:rsidR="004E3540" w:rsidRPr="004D76E4">
        <w:rPr>
          <w:rFonts w:ascii="Times New Roman" w:hAnsi="Times New Roman" w:cs="Times New Roman"/>
          <w:sz w:val="24"/>
          <w:szCs w:val="24"/>
          <w:lang w:val="en-US"/>
        </w:rPr>
        <w:t xml:space="preserve"> can harm companies and society in many ways.</w:t>
      </w:r>
      <w:r w:rsidR="00D67DC4" w:rsidRPr="004D76E4">
        <w:rPr>
          <w:rFonts w:ascii="Times New Roman" w:hAnsi="Times New Roman" w:cs="Times New Roman"/>
          <w:sz w:val="24"/>
          <w:szCs w:val="24"/>
          <w:lang w:val="en-US"/>
        </w:rPr>
        <w:t xml:space="preserve"> </w:t>
      </w:r>
    </w:p>
    <w:p w14:paraId="55BA41D9" w14:textId="19F5B8E6" w:rsidR="00D22DFB" w:rsidRDefault="00D22DFB" w:rsidP="00FC162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17677F" w:rsidRPr="004D76E4">
        <w:rPr>
          <w:rFonts w:ascii="Times New Roman" w:hAnsi="Times New Roman" w:cs="Times New Roman"/>
          <w:sz w:val="24"/>
          <w:szCs w:val="24"/>
          <w:lang w:val="en-US"/>
        </w:rPr>
        <w:t>Speculative s</w:t>
      </w:r>
      <w:r w:rsidR="00D67DC4" w:rsidRPr="004D76E4">
        <w:rPr>
          <w:rFonts w:ascii="Times New Roman" w:hAnsi="Times New Roman" w:cs="Times New Roman"/>
          <w:sz w:val="24"/>
          <w:szCs w:val="24"/>
          <w:lang w:val="en-US"/>
        </w:rPr>
        <w:t xml:space="preserve">tock market fluctuations </w:t>
      </w:r>
      <w:r w:rsidR="0017677F" w:rsidRPr="004D76E4">
        <w:rPr>
          <w:rFonts w:ascii="Times New Roman" w:hAnsi="Times New Roman" w:cs="Times New Roman"/>
          <w:sz w:val="24"/>
          <w:szCs w:val="24"/>
          <w:lang w:val="en-US"/>
        </w:rPr>
        <w:t>(</w:t>
      </w:r>
      <w:proofErr w:type="spellStart"/>
      <w:r w:rsidR="0017677F" w:rsidRPr="004D76E4">
        <w:rPr>
          <w:rFonts w:ascii="Times New Roman" w:hAnsi="Times New Roman" w:cs="Times New Roman"/>
          <w:sz w:val="24"/>
          <w:szCs w:val="24"/>
          <w:lang w:val="en-US"/>
        </w:rPr>
        <w:t>Cremers</w:t>
      </w:r>
      <w:proofErr w:type="spellEnd"/>
      <w:r w:rsidR="0017677F" w:rsidRPr="004D76E4">
        <w:rPr>
          <w:rFonts w:ascii="Times New Roman" w:hAnsi="Times New Roman" w:cs="Times New Roman"/>
          <w:sz w:val="24"/>
          <w:szCs w:val="24"/>
          <w:lang w:val="en-US"/>
        </w:rPr>
        <w:t xml:space="preserve">, </w:t>
      </w:r>
      <w:proofErr w:type="spellStart"/>
      <w:r w:rsidR="0017677F" w:rsidRPr="004D76E4">
        <w:rPr>
          <w:rFonts w:ascii="Times New Roman" w:hAnsi="Times New Roman" w:cs="Times New Roman"/>
          <w:sz w:val="24"/>
          <w:szCs w:val="24"/>
          <w:lang w:val="en-US"/>
        </w:rPr>
        <w:t>Pareek</w:t>
      </w:r>
      <w:proofErr w:type="spellEnd"/>
      <w:r w:rsidR="0017677F" w:rsidRPr="004D76E4">
        <w:rPr>
          <w:rFonts w:ascii="Times New Roman" w:hAnsi="Times New Roman" w:cs="Times New Roman"/>
          <w:sz w:val="24"/>
          <w:szCs w:val="24"/>
          <w:lang w:val="en-US"/>
        </w:rPr>
        <w:t xml:space="preserve"> and </w:t>
      </w:r>
      <w:proofErr w:type="spellStart"/>
      <w:r w:rsidR="0017677F" w:rsidRPr="004D76E4">
        <w:rPr>
          <w:rFonts w:ascii="Times New Roman" w:hAnsi="Times New Roman" w:cs="Times New Roman"/>
          <w:sz w:val="24"/>
          <w:szCs w:val="24"/>
          <w:lang w:val="en-US"/>
        </w:rPr>
        <w:t>Sautner</w:t>
      </w:r>
      <w:proofErr w:type="spellEnd"/>
      <w:r w:rsidR="0017677F" w:rsidRPr="004D76E4">
        <w:rPr>
          <w:rFonts w:ascii="Times New Roman" w:hAnsi="Times New Roman" w:cs="Times New Roman"/>
          <w:sz w:val="24"/>
          <w:szCs w:val="24"/>
          <w:lang w:val="en-US"/>
        </w:rPr>
        <w:t xml:space="preserve"> 2013) </w:t>
      </w:r>
      <w:r w:rsidR="00D67DC4" w:rsidRPr="004D76E4">
        <w:rPr>
          <w:rFonts w:ascii="Times New Roman" w:hAnsi="Times New Roman" w:cs="Times New Roman"/>
          <w:sz w:val="24"/>
          <w:szCs w:val="24"/>
          <w:lang w:val="en-US"/>
        </w:rPr>
        <w:t>may lead to the takeover and break up of well governed and profitable companies simply because they are cheap</w:t>
      </w:r>
      <w:r w:rsidR="00AF12CB" w:rsidRPr="004D76E4">
        <w:rPr>
          <w:rFonts w:ascii="Times New Roman" w:hAnsi="Times New Roman" w:cs="Times New Roman"/>
          <w:sz w:val="24"/>
          <w:szCs w:val="24"/>
          <w:lang w:val="en-US"/>
        </w:rPr>
        <w:t xml:space="preserve"> or small</w:t>
      </w:r>
      <w:r w:rsidR="00D67DC4" w:rsidRPr="004D76E4">
        <w:rPr>
          <w:rFonts w:ascii="Times New Roman" w:hAnsi="Times New Roman" w:cs="Times New Roman"/>
          <w:sz w:val="24"/>
          <w:szCs w:val="24"/>
          <w:lang w:val="en-US"/>
        </w:rPr>
        <w:t xml:space="preserve">. </w:t>
      </w:r>
      <w:r w:rsidR="00B4492E">
        <w:rPr>
          <w:rFonts w:ascii="Times New Roman" w:hAnsi="Times New Roman" w:cs="Times New Roman"/>
          <w:sz w:val="24"/>
          <w:szCs w:val="24"/>
          <w:lang w:val="en-US"/>
        </w:rPr>
        <w:t xml:space="preserve">Undervalued companies may be acquired by less efficient rivals. Overvalued companies </w:t>
      </w:r>
      <w:r w:rsidR="00B4492E" w:rsidRPr="00B4492E">
        <w:rPr>
          <w:rFonts w:ascii="Times New Roman" w:hAnsi="Times New Roman" w:cs="Times New Roman"/>
          <w:sz w:val="24"/>
          <w:szCs w:val="24"/>
          <w:lang w:val="en-US"/>
        </w:rPr>
        <w:t xml:space="preserve">may </w:t>
      </w:r>
      <w:r w:rsidR="00B4492E">
        <w:rPr>
          <w:rFonts w:ascii="Times New Roman" w:hAnsi="Times New Roman" w:cs="Times New Roman"/>
          <w:sz w:val="24"/>
          <w:szCs w:val="24"/>
          <w:lang w:val="en-US"/>
        </w:rPr>
        <w:t>overinvest in</w:t>
      </w:r>
      <w:r w:rsidR="00B4492E" w:rsidRPr="00B4492E">
        <w:rPr>
          <w:rFonts w:ascii="Times New Roman" w:hAnsi="Times New Roman" w:cs="Times New Roman"/>
          <w:sz w:val="24"/>
          <w:szCs w:val="24"/>
          <w:lang w:val="en-US"/>
        </w:rPr>
        <w:t xml:space="preserve"> M&amp;A </w:t>
      </w:r>
      <w:r w:rsidR="00A46ABF">
        <w:rPr>
          <w:rFonts w:ascii="Times New Roman" w:hAnsi="Times New Roman" w:cs="Times New Roman"/>
          <w:sz w:val="24"/>
          <w:szCs w:val="24"/>
          <w:lang w:val="en-US"/>
        </w:rPr>
        <w:t xml:space="preserve">transactions </w:t>
      </w:r>
      <w:r w:rsidR="00B4492E" w:rsidRPr="00B4492E">
        <w:rPr>
          <w:rFonts w:ascii="Times New Roman" w:hAnsi="Times New Roman" w:cs="Times New Roman"/>
          <w:sz w:val="24"/>
          <w:szCs w:val="24"/>
          <w:lang w:val="en-US"/>
        </w:rPr>
        <w:t>rather than organic growth</w:t>
      </w:r>
      <w:r w:rsidR="00B4492E">
        <w:rPr>
          <w:rFonts w:ascii="Times New Roman" w:hAnsi="Times New Roman" w:cs="Times New Roman"/>
          <w:sz w:val="24"/>
          <w:szCs w:val="24"/>
          <w:lang w:val="en-US"/>
        </w:rPr>
        <w:t>.</w:t>
      </w:r>
    </w:p>
    <w:p w14:paraId="5545D3BF" w14:textId="3120C88E" w:rsidR="00D22DFB" w:rsidRDefault="00D22DFB" w:rsidP="00FC162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F12CB" w:rsidRPr="004D76E4">
        <w:rPr>
          <w:rFonts w:ascii="Times New Roman" w:hAnsi="Times New Roman" w:cs="Times New Roman"/>
          <w:sz w:val="24"/>
          <w:szCs w:val="24"/>
          <w:lang w:val="en-US"/>
        </w:rPr>
        <w:t xml:space="preserve">The market may fail to appreciate </w:t>
      </w:r>
      <w:r w:rsidR="00EE02CE" w:rsidRPr="004D76E4">
        <w:rPr>
          <w:rFonts w:ascii="Times New Roman" w:hAnsi="Times New Roman" w:cs="Times New Roman"/>
          <w:sz w:val="24"/>
          <w:szCs w:val="24"/>
          <w:lang w:val="en-US"/>
        </w:rPr>
        <w:t xml:space="preserve">the </w:t>
      </w:r>
      <w:r w:rsidR="00AF12CB" w:rsidRPr="004D76E4">
        <w:rPr>
          <w:rFonts w:ascii="Times New Roman" w:hAnsi="Times New Roman" w:cs="Times New Roman"/>
          <w:sz w:val="24"/>
          <w:szCs w:val="24"/>
          <w:lang w:val="en-US"/>
        </w:rPr>
        <w:t>immaterial value of implicit contracts with employees and customers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Shleifer</w:t>
      </w:r>
      <w:proofErr w:type="spellEnd"/>
      <w:r>
        <w:rPr>
          <w:rFonts w:ascii="Times New Roman" w:hAnsi="Times New Roman" w:cs="Times New Roman"/>
          <w:sz w:val="24"/>
          <w:szCs w:val="24"/>
          <w:lang w:val="en-US"/>
        </w:rPr>
        <w:t xml:space="preserve"> and Summers 1988)</w:t>
      </w:r>
      <w:r w:rsidR="00AF12CB" w:rsidRPr="004D76E4">
        <w:rPr>
          <w:rFonts w:ascii="Times New Roman" w:hAnsi="Times New Roman" w:cs="Times New Roman"/>
          <w:sz w:val="24"/>
          <w:szCs w:val="24"/>
          <w:lang w:val="en-US"/>
        </w:rPr>
        <w:t xml:space="preserve">. </w:t>
      </w:r>
    </w:p>
    <w:p w14:paraId="10C2B44F" w14:textId="7C9D144D" w:rsidR="00A46ABF" w:rsidRDefault="00D22DFB" w:rsidP="00FC162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D67DC4" w:rsidRPr="004D76E4">
        <w:rPr>
          <w:rFonts w:ascii="Times New Roman" w:hAnsi="Times New Roman" w:cs="Times New Roman"/>
          <w:sz w:val="24"/>
          <w:szCs w:val="24"/>
          <w:lang w:val="en-US"/>
        </w:rPr>
        <w:t xml:space="preserve">Company managers may feel compelled </w:t>
      </w:r>
      <w:r w:rsidR="00A46ABF">
        <w:rPr>
          <w:rFonts w:ascii="Times New Roman" w:hAnsi="Times New Roman" w:cs="Times New Roman"/>
          <w:sz w:val="24"/>
          <w:szCs w:val="24"/>
          <w:lang w:val="en-US"/>
        </w:rPr>
        <w:t xml:space="preserve">by market pressures </w:t>
      </w:r>
      <w:r w:rsidR="00D67DC4" w:rsidRPr="004D76E4">
        <w:rPr>
          <w:rFonts w:ascii="Times New Roman" w:hAnsi="Times New Roman" w:cs="Times New Roman"/>
          <w:sz w:val="24"/>
          <w:szCs w:val="24"/>
          <w:lang w:val="en-US"/>
        </w:rPr>
        <w:t>to maximize short term earnings and underinvest</w:t>
      </w:r>
      <w:r w:rsidR="002C252A">
        <w:rPr>
          <w:rFonts w:ascii="Times New Roman" w:hAnsi="Times New Roman" w:cs="Times New Roman"/>
          <w:sz w:val="24"/>
          <w:szCs w:val="24"/>
          <w:lang w:val="en-US"/>
        </w:rPr>
        <w:t>,</w:t>
      </w:r>
      <w:r w:rsidR="005767EC">
        <w:rPr>
          <w:rFonts w:ascii="Times New Roman" w:hAnsi="Times New Roman" w:cs="Times New Roman"/>
          <w:sz w:val="24"/>
          <w:szCs w:val="24"/>
          <w:lang w:val="en-US"/>
        </w:rPr>
        <w:t xml:space="preserve"> p</w:t>
      </w:r>
      <w:r w:rsidR="002C252A">
        <w:rPr>
          <w:rFonts w:ascii="Times New Roman" w:hAnsi="Times New Roman" w:cs="Times New Roman"/>
          <w:sz w:val="24"/>
          <w:szCs w:val="24"/>
          <w:lang w:val="en-US"/>
        </w:rPr>
        <w:t>articularly</w:t>
      </w:r>
      <w:r w:rsidR="00D67DC4" w:rsidRPr="004D76E4">
        <w:rPr>
          <w:rFonts w:ascii="Times New Roman" w:hAnsi="Times New Roman" w:cs="Times New Roman"/>
          <w:sz w:val="24"/>
          <w:szCs w:val="24"/>
          <w:lang w:val="en-US"/>
        </w:rPr>
        <w:t xml:space="preserve"> in immaterial assets like competence, culture or reputation</w:t>
      </w:r>
      <w:r w:rsidR="00B4492E">
        <w:rPr>
          <w:rFonts w:ascii="Times New Roman" w:hAnsi="Times New Roman" w:cs="Times New Roman"/>
          <w:sz w:val="24"/>
          <w:szCs w:val="24"/>
          <w:lang w:val="en-US"/>
        </w:rPr>
        <w:t xml:space="preserve"> (Stein 1988, 1989</w:t>
      </w:r>
      <w:r w:rsidR="005767EC">
        <w:rPr>
          <w:rFonts w:ascii="Times New Roman" w:hAnsi="Times New Roman" w:cs="Times New Roman"/>
          <w:sz w:val="24"/>
          <w:szCs w:val="24"/>
          <w:lang w:val="en-US"/>
        </w:rPr>
        <w:t>,</w:t>
      </w:r>
      <w:r w:rsidR="005767EC" w:rsidRPr="005767EC">
        <w:rPr>
          <w:rFonts w:ascii="Times New Roman" w:hAnsi="Times New Roman" w:cs="Times New Roman"/>
          <w:sz w:val="24"/>
          <w:szCs w:val="24"/>
          <w:lang w:val="en-US"/>
        </w:rPr>
        <w:t xml:space="preserve"> </w:t>
      </w:r>
      <w:r w:rsidR="005767EC">
        <w:rPr>
          <w:rFonts w:ascii="Times New Roman" w:hAnsi="Times New Roman" w:cs="Times New Roman"/>
          <w:sz w:val="24"/>
          <w:szCs w:val="24"/>
          <w:lang w:val="en-US"/>
        </w:rPr>
        <w:t>Asker et al. 2011, 2013</w:t>
      </w:r>
      <w:r w:rsidR="00B4492E">
        <w:rPr>
          <w:rFonts w:ascii="Times New Roman" w:hAnsi="Times New Roman" w:cs="Times New Roman"/>
          <w:sz w:val="24"/>
          <w:szCs w:val="24"/>
          <w:lang w:val="en-US"/>
        </w:rPr>
        <w:t>)</w:t>
      </w:r>
      <w:r w:rsidR="00D67DC4" w:rsidRPr="004D76E4">
        <w:rPr>
          <w:rFonts w:ascii="Times New Roman" w:hAnsi="Times New Roman" w:cs="Times New Roman"/>
          <w:sz w:val="24"/>
          <w:szCs w:val="24"/>
          <w:lang w:val="en-US"/>
        </w:rPr>
        <w:t>.</w:t>
      </w:r>
    </w:p>
    <w:p w14:paraId="52635570" w14:textId="5E483A85" w:rsidR="00A46ABF" w:rsidRDefault="00A46ABF" w:rsidP="00FC1626">
      <w:pPr>
        <w:jc w:val="both"/>
        <w:rPr>
          <w:rFonts w:ascii="Times New Roman" w:hAnsi="Times New Roman" w:cs="Times New Roman"/>
          <w:sz w:val="24"/>
          <w:szCs w:val="24"/>
          <w:lang w:val="en-US"/>
        </w:rPr>
      </w:pPr>
      <w:r>
        <w:rPr>
          <w:rFonts w:ascii="Times New Roman" w:hAnsi="Times New Roman" w:cs="Times New Roman"/>
          <w:sz w:val="24"/>
          <w:szCs w:val="24"/>
          <w:lang w:val="en-US"/>
        </w:rPr>
        <w:t>4. Short</w:t>
      </w:r>
      <w:r w:rsidR="00BF3DB6">
        <w:rPr>
          <w:rFonts w:ascii="Times New Roman" w:hAnsi="Times New Roman" w:cs="Times New Roman"/>
          <w:sz w:val="24"/>
          <w:szCs w:val="24"/>
          <w:lang w:val="en-US"/>
        </w:rPr>
        <w:t xml:space="preserve"> </w:t>
      </w:r>
      <w:r>
        <w:rPr>
          <w:rFonts w:ascii="Times New Roman" w:hAnsi="Times New Roman" w:cs="Times New Roman"/>
          <w:sz w:val="24"/>
          <w:szCs w:val="24"/>
          <w:lang w:val="en-US"/>
        </w:rPr>
        <w:t>term incentive packages may lead managers to take excessive risk which only become obvious in the long run. For example banks may lend excessively and business companies may</w:t>
      </w:r>
      <w:r w:rsidR="00386244" w:rsidRPr="004D76E4">
        <w:rPr>
          <w:rFonts w:ascii="Times New Roman" w:hAnsi="Times New Roman" w:cs="Times New Roman"/>
          <w:sz w:val="24"/>
          <w:szCs w:val="24"/>
          <w:lang w:val="en-US"/>
        </w:rPr>
        <w:t xml:space="preserve"> leverage their balance sheet </w:t>
      </w:r>
      <w:r>
        <w:rPr>
          <w:rFonts w:ascii="Times New Roman" w:hAnsi="Times New Roman" w:cs="Times New Roman"/>
          <w:sz w:val="24"/>
          <w:szCs w:val="24"/>
          <w:lang w:val="en-US"/>
        </w:rPr>
        <w:t xml:space="preserve">or </w:t>
      </w:r>
      <w:r w:rsidR="00386244" w:rsidRPr="004D76E4">
        <w:rPr>
          <w:rFonts w:ascii="Times New Roman" w:hAnsi="Times New Roman" w:cs="Times New Roman"/>
          <w:sz w:val="24"/>
          <w:szCs w:val="24"/>
          <w:lang w:val="en-US"/>
        </w:rPr>
        <w:t>expose the company to greater financial risk</w:t>
      </w:r>
      <w:r>
        <w:rPr>
          <w:rFonts w:ascii="Times New Roman" w:hAnsi="Times New Roman" w:cs="Times New Roman"/>
          <w:sz w:val="24"/>
          <w:szCs w:val="24"/>
          <w:lang w:val="en-US"/>
        </w:rPr>
        <w:t xml:space="preserve"> in less transparent ways</w:t>
      </w:r>
      <w:r w:rsidR="00386244" w:rsidRPr="004D76E4">
        <w:rPr>
          <w:rFonts w:ascii="Times New Roman" w:hAnsi="Times New Roman" w:cs="Times New Roman"/>
          <w:sz w:val="24"/>
          <w:szCs w:val="24"/>
          <w:lang w:val="en-US"/>
        </w:rPr>
        <w:t>.</w:t>
      </w:r>
      <w:r w:rsidR="00AF12CB" w:rsidRPr="004D76E4">
        <w:rPr>
          <w:rFonts w:ascii="Times New Roman" w:hAnsi="Times New Roman" w:cs="Times New Roman"/>
          <w:sz w:val="24"/>
          <w:szCs w:val="24"/>
          <w:lang w:val="en-US"/>
        </w:rPr>
        <w:t xml:space="preserve"> </w:t>
      </w:r>
    </w:p>
    <w:p w14:paraId="0A3399B9" w14:textId="3C1C2D93" w:rsidR="00257435" w:rsidRDefault="00A46ABF" w:rsidP="00FC1626">
      <w:pPr>
        <w:jc w:val="both"/>
        <w:rPr>
          <w:rFonts w:ascii="Times New Roman" w:hAnsi="Times New Roman" w:cs="Times New Roman"/>
          <w:sz w:val="24"/>
          <w:szCs w:val="24"/>
          <w:lang w:val="en-US"/>
        </w:rPr>
      </w:pPr>
      <w:r>
        <w:rPr>
          <w:rFonts w:ascii="Times New Roman" w:hAnsi="Times New Roman" w:cs="Times New Roman"/>
          <w:sz w:val="24"/>
          <w:szCs w:val="24"/>
          <w:lang w:val="en-US"/>
        </w:rPr>
        <w:t>5. Companies may replace their managers so frequently that they have little incentive to undertake long run investments because they will not be around when the benefits become evident</w:t>
      </w:r>
      <w:r w:rsidR="00E52694">
        <w:rPr>
          <w:rFonts w:ascii="Times New Roman" w:hAnsi="Times New Roman" w:cs="Times New Roman"/>
          <w:sz w:val="24"/>
          <w:szCs w:val="24"/>
          <w:lang w:val="en-US"/>
        </w:rPr>
        <w:t xml:space="preserve"> </w:t>
      </w:r>
      <w:r w:rsidR="00E52694" w:rsidRPr="00E52694">
        <w:rPr>
          <w:rFonts w:ascii="Times New Roman" w:hAnsi="Times New Roman" w:cs="Times New Roman"/>
          <w:sz w:val="24"/>
          <w:szCs w:val="24"/>
          <w:lang w:val="en-US"/>
        </w:rPr>
        <w:t>(Kaplan and Minton 2012</w:t>
      </w:r>
      <w:r w:rsidR="00BF3DB6">
        <w:rPr>
          <w:rFonts w:ascii="Times New Roman" w:hAnsi="Times New Roman" w:cs="Times New Roman"/>
          <w:sz w:val="24"/>
          <w:szCs w:val="24"/>
          <w:lang w:val="en-US"/>
        </w:rPr>
        <w:t>)</w:t>
      </w:r>
      <w:r>
        <w:rPr>
          <w:rFonts w:ascii="Times New Roman" w:hAnsi="Times New Roman" w:cs="Times New Roman"/>
          <w:sz w:val="24"/>
          <w:szCs w:val="24"/>
          <w:lang w:val="en-US"/>
        </w:rPr>
        <w:t>.</w:t>
      </w:r>
    </w:p>
    <w:p w14:paraId="42A3D89C" w14:textId="75761E0F" w:rsidR="00BF3DB6" w:rsidRDefault="00257435" w:rsidP="00BF3DB6">
      <w:pPr>
        <w:jc w:val="both"/>
        <w:rPr>
          <w:rFonts w:ascii="Times New Roman" w:hAnsi="Times New Roman" w:cs="Times New Roman"/>
          <w:sz w:val="24"/>
          <w:szCs w:val="24"/>
          <w:lang w:val="en-US"/>
        </w:rPr>
      </w:pPr>
      <w:r>
        <w:rPr>
          <w:rFonts w:ascii="Times New Roman" w:hAnsi="Times New Roman" w:cs="Times New Roman"/>
          <w:sz w:val="24"/>
          <w:szCs w:val="24"/>
          <w:lang w:val="en-US"/>
        </w:rPr>
        <w:t>This impressive range of problems invites solutions both system</w:t>
      </w:r>
      <w:r w:rsidR="00E52694">
        <w:rPr>
          <w:rFonts w:ascii="Times New Roman" w:hAnsi="Times New Roman" w:cs="Times New Roman"/>
          <w:sz w:val="24"/>
          <w:szCs w:val="24"/>
          <w:lang w:val="en-US"/>
        </w:rPr>
        <w:t>ic</w:t>
      </w:r>
      <w:r>
        <w:rPr>
          <w:rFonts w:ascii="Times New Roman" w:hAnsi="Times New Roman" w:cs="Times New Roman"/>
          <w:sz w:val="24"/>
          <w:szCs w:val="24"/>
          <w:lang w:val="en-US"/>
        </w:rPr>
        <w:t xml:space="preserve"> and firm level</w:t>
      </w:r>
      <w:r w:rsidR="00E52694">
        <w:rPr>
          <w:rFonts w:ascii="Times New Roman" w:hAnsi="Times New Roman" w:cs="Times New Roman"/>
          <w:sz w:val="24"/>
          <w:szCs w:val="24"/>
          <w:lang w:val="en-US"/>
        </w:rPr>
        <w:t xml:space="preserve"> solutions. </w:t>
      </w:r>
      <w:r w:rsidR="002C252A">
        <w:rPr>
          <w:rFonts w:ascii="Times New Roman" w:hAnsi="Times New Roman" w:cs="Times New Roman"/>
          <w:sz w:val="24"/>
          <w:szCs w:val="24"/>
          <w:lang w:val="en-US"/>
        </w:rPr>
        <w:t xml:space="preserve">For example, </w:t>
      </w:r>
      <w:r w:rsidR="002C252A" w:rsidRPr="004D76E4">
        <w:rPr>
          <w:rFonts w:ascii="Times New Roman" w:hAnsi="Times New Roman" w:cs="Times New Roman"/>
          <w:sz w:val="24"/>
          <w:szCs w:val="24"/>
          <w:lang w:val="en-US"/>
        </w:rPr>
        <w:t>Colin Mayer (2013) argues that it is necessary to reinvent the corporation in a way that enables it to make long term commitments.</w:t>
      </w:r>
    </w:p>
    <w:p w14:paraId="0CD9E6D8" w14:textId="77777777" w:rsidR="0090770D" w:rsidRDefault="002C252A" w:rsidP="0090770D">
      <w:pPr>
        <w:jc w:val="both"/>
        <w:rPr>
          <w:rFonts w:ascii="Times New Roman" w:hAnsi="Times New Roman" w:cs="Times New Roman"/>
          <w:sz w:val="24"/>
          <w:szCs w:val="24"/>
          <w:lang w:val="en-US"/>
        </w:rPr>
      </w:pPr>
      <w:r>
        <w:rPr>
          <w:rFonts w:ascii="Times New Roman" w:hAnsi="Times New Roman" w:cs="Times New Roman"/>
          <w:sz w:val="24"/>
          <w:szCs w:val="24"/>
          <w:lang w:val="en-US"/>
        </w:rPr>
        <w:t>Several of t</w:t>
      </w:r>
      <w:r w:rsidR="00096B3C">
        <w:rPr>
          <w:rFonts w:ascii="Times New Roman" w:hAnsi="Times New Roman" w:cs="Times New Roman"/>
          <w:sz w:val="24"/>
          <w:szCs w:val="24"/>
          <w:lang w:val="en-US"/>
        </w:rPr>
        <w:t xml:space="preserve">he issues identified appear to be </w:t>
      </w:r>
      <w:r>
        <w:rPr>
          <w:rFonts w:ascii="Times New Roman" w:hAnsi="Times New Roman" w:cs="Times New Roman"/>
          <w:sz w:val="24"/>
          <w:szCs w:val="24"/>
          <w:lang w:val="en-US"/>
        </w:rPr>
        <w:t>related to corporate ownership. For example, the problems appear to be more acute in in listed firms</w:t>
      </w:r>
      <w:r w:rsidR="00096B3C">
        <w:rPr>
          <w:rFonts w:ascii="Times New Roman" w:hAnsi="Times New Roman" w:cs="Times New Roman"/>
          <w:sz w:val="24"/>
          <w:szCs w:val="24"/>
          <w:lang w:val="en-US"/>
        </w:rPr>
        <w:t>. The stock</w:t>
      </w:r>
      <w:r w:rsidR="0090770D">
        <w:rPr>
          <w:rFonts w:ascii="Times New Roman" w:hAnsi="Times New Roman" w:cs="Times New Roman"/>
          <w:sz w:val="24"/>
          <w:szCs w:val="24"/>
          <w:lang w:val="en-US"/>
        </w:rPr>
        <w:t xml:space="preserve">s </w:t>
      </w:r>
      <w:r w:rsidR="00096B3C">
        <w:rPr>
          <w:rFonts w:ascii="Times New Roman" w:hAnsi="Times New Roman" w:cs="Times New Roman"/>
          <w:sz w:val="24"/>
          <w:szCs w:val="24"/>
          <w:lang w:val="en-US"/>
        </w:rPr>
        <w:t xml:space="preserve">of private firms are traded less frequently, </w:t>
      </w:r>
      <w:r w:rsidR="0090770D">
        <w:rPr>
          <w:rFonts w:ascii="Times New Roman" w:hAnsi="Times New Roman" w:cs="Times New Roman"/>
          <w:sz w:val="24"/>
          <w:szCs w:val="24"/>
          <w:lang w:val="en-US"/>
        </w:rPr>
        <w:t>private firms</w:t>
      </w:r>
      <w:r w:rsidR="00096B3C">
        <w:rPr>
          <w:rFonts w:ascii="Times New Roman" w:hAnsi="Times New Roman" w:cs="Times New Roman"/>
          <w:sz w:val="24"/>
          <w:szCs w:val="24"/>
          <w:lang w:val="en-US"/>
        </w:rPr>
        <w:t xml:space="preserve"> rely less on stock options and there is evidence that they invest more </w:t>
      </w:r>
      <w:r>
        <w:rPr>
          <w:rFonts w:ascii="Times New Roman" w:hAnsi="Times New Roman" w:cs="Times New Roman"/>
          <w:sz w:val="24"/>
          <w:szCs w:val="24"/>
          <w:lang w:val="en-US"/>
        </w:rPr>
        <w:t>(</w:t>
      </w:r>
      <w:r w:rsidR="00096B3C">
        <w:rPr>
          <w:rFonts w:ascii="Times New Roman" w:hAnsi="Times New Roman" w:cs="Times New Roman"/>
          <w:sz w:val="24"/>
          <w:szCs w:val="24"/>
          <w:lang w:val="en-US"/>
        </w:rPr>
        <w:t xml:space="preserve">Asker at al 2011, 2013). There is also anecdotal evidence that newly listed tech firms like Google, Facebook and </w:t>
      </w:r>
      <w:proofErr w:type="spellStart"/>
      <w:r w:rsidR="00096B3C">
        <w:rPr>
          <w:rFonts w:ascii="Times New Roman" w:hAnsi="Times New Roman" w:cs="Times New Roman"/>
          <w:sz w:val="24"/>
          <w:szCs w:val="24"/>
          <w:lang w:val="en-US"/>
        </w:rPr>
        <w:t>Linkedin</w:t>
      </w:r>
      <w:proofErr w:type="spellEnd"/>
      <w:r w:rsidR="00096B3C">
        <w:rPr>
          <w:rFonts w:ascii="Times New Roman" w:hAnsi="Times New Roman" w:cs="Times New Roman"/>
          <w:sz w:val="24"/>
          <w:szCs w:val="24"/>
          <w:lang w:val="en-US"/>
        </w:rPr>
        <w:t xml:space="preserve"> use ownership structures like dual class shares to neutralize</w:t>
      </w:r>
      <w:r w:rsidR="00702AD0">
        <w:rPr>
          <w:rFonts w:ascii="Times New Roman" w:hAnsi="Times New Roman" w:cs="Times New Roman"/>
          <w:sz w:val="24"/>
          <w:szCs w:val="24"/>
          <w:lang w:val="en-US"/>
        </w:rPr>
        <w:t xml:space="preserve"> short term stock market pressure. However, such alternative ownership structures are likely to have costs as well as benefits. The owners of unlisted firms may rationally underinvest if they are unable to diversify risk.  Family firms are known to suffer from succession problems when ownership and management passes from founders to the second generation. Dual class stock</w:t>
      </w:r>
      <w:r w:rsidR="0090770D">
        <w:rPr>
          <w:rFonts w:ascii="Times New Roman" w:hAnsi="Times New Roman" w:cs="Times New Roman"/>
          <w:sz w:val="24"/>
          <w:szCs w:val="24"/>
          <w:lang w:val="en-US"/>
        </w:rPr>
        <w:t xml:space="preserve"> can lead to entrenchment of inefficient management teams and investment behavior that deviate from value maximization because of agency problems.</w:t>
      </w:r>
      <w:r>
        <w:rPr>
          <w:rFonts w:ascii="Times New Roman" w:hAnsi="Times New Roman" w:cs="Times New Roman"/>
          <w:sz w:val="24"/>
          <w:szCs w:val="24"/>
          <w:lang w:val="en-US"/>
        </w:rPr>
        <w:t xml:space="preserve"> </w:t>
      </w:r>
    </w:p>
    <w:p w14:paraId="7AA4518F" w14:textId="3BEFE532" w:rsidR="0090770D" w:rsidRDefault="0090770D" w:rsidP="009077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there </w:t>
      </w:r>
      <w:r w:rsidRPr="004D76E4">
        <w:rPr>
          <w:rFonts w:ascii="Times New Roman" w:hAnsi="Times New Roman" w:cs="Times New Roman"/>
          <w:sz w:val="24"/>
          <w:szCs w:val="24"/>
          <w:lang w:val="en-US"/>
        </w:rPr>
        <w:t xml:space="preserve">are many potential advantages to </w:t>
      </w:r>
      <w:r>
        <w:rPr>
          <w:rFonts w:ascii="Times New Roman" w:hAnsi="Times New Roman" w:cs="Times New Roman"/>
          <w:sz w:val="24"/>
          <w:szCs w:val="24"/>
          <w:lang w:val="en-US"/>
        </w:rPr>
        <w:t xml:space="preserve">such </w:t>
      </w:r>
      <w:r w:rsidRPr="004D76E4">
        <w:rPr>
          <w:rFonts w:ascii="Times New Roman" w:hAnsi="Times New Roman" w:cs="Times New Roman"/>
          <w:sz w:val="24"/>
          <w:szCs w:val="24"/>
          <w:lang w:val="en-US"/>
        </w:rPr>
        <w:t>long term ownership</w:t>
      </w:r>
      <w:r>
        <w:rPr>
          <w:rFonts w:ascii="Times New Roman" w:hAnsi="Times New Roman" w:cs="Times New Roman"/>
          <w:sz w:val="24"/>
          <w:szCs w:val="24"/>
          <w:lang w:val="en-US"/>
        </w:rPr>
        <w:t>, there are also potential costs</w:t>
      </w:r>
      <w:r w:rsidRPr="004D76E4">
        <w:rPr>
          <w:rFonts w:ascii="Times New Roman" w:hAnsi="Times New Roman" w:cs="Times New Roman"/>
          <w:sz w:val="24"/>
          <w:szCs w:val="24"/>
          <w:lang w:val="en-US"/>
        </w:rPr>
        <w:t xml:space="preserve">. Patience can become procrastination. Companies may overinvest and fail to take into consideration the opportunity costs of capital. Bad managers may not be replaced and it may take </w:t>
      </w:r>
      <w:r w:rsidRPr="004D76E4">
        <w:rPr>
          <w:rFonts w:ascii="Times New Roman" w:hAnsi="Times New Roman" w:cs="Times New Roman"/>
          <w:sz w:val="24"/>
          <w:szCs w:val="24"/>
          <w:lang w:val="en-US"/>
        </w:rPr>
        <w:lastRenderedPageBreak/>
        <w:t xml:space="preserve">too long to adjust unsuccessful strategies. </w:t>
      </w:r>
      <w:r>
        <w:rPr>
          <w:rFonts w:ascii="Times New Roman" w:hAnsi="Times New Roman" w:cs="Times New Roman"/>
          <w:sz w:val="24"/>
          <w:szCs w:val="24"/>
          <w:lang w:val="en-US"/>
        </w:rPr>
        <w:t>B</w:t>
      </w:r>
      <w:r w:rsidRPr="004D76E4">
        <w:rPr>
          <w:rFonts w:ascii="Times New Roman" w:hAnsi="Times New Roman" w:cs="Times New Roman"/>
          <w:sz w:val="24"/>
          <w:szCs w:val="24"/>
          <w:lang w:val="en-US"/>
        </w:rPr>
        <w:t xml:space="preserve">oth myopia and procrastination may be regarded as special cases of </w:t>
      </w:r>
      <w:r>
        <w:rPr>
          <w:rFonts w:ascii="Times New Roman" w:hAnsi="Times New Roman" w:cs="Times New Roman"/>
          <w:sz w:val="24"/>
          <w:szCs w:val="24"/>
          <w:lang w:val="en-US"/>
        </w:rPr>
        <w:t>un</w:t>
      </w:r>
      <w:r w:rsidRPr="004D76E4">
        <w:rPr>
          <w:rFonts w:ascii="Times New Roman" w:hAnsi="Times New Roman" w:cs="Times New Roman"/>
          <w:sz w:val="24"/>
          <w:szCs w:val="24"/>
          <w:lang w:val="en-US"/>
        </w:rPr>
        <w:t xml:space="preserve">sustainable </w:t>
      </w:r>
      <w:r>
        <w:rPr>
          <w:rFonts w:ascii="Times New Roman" w:hAnsi="Times New Roman" w:cs="Times New Roman"/>
          <w:sz w:val="24"/>
          <w:szCs w:val="24"/>
          <w:lang w:val="en-US"/>
        </w:rPr>
        <w:t xml:space="preserve">behavior that suffer from short-termism since it harms </w:t>
      </w:r>
      <w:r w:rsidRPr="004D76E4">
        <w:rPr>
          <w:rFonts w:ascii="Times New Roman" w:hAnsi="Times New Roman" w:cs="Times New Roman"/>
          <w:sz w:val="24"/>
          <w:szCs w:val="24"/>
          <w:lang w:val="en-US"/>
        </w:rPr>
        <w:t>value creation in the long run.</w:t>
      </w:r>
      <w:r>
        <w:rPr>
          <w:rFonts w:ascii="Times New Roman" w:hAnsi="Times New Roman" w:cs="Times New Roman"/>
          <w:sz w:val="24"/>
          <w:szCs w:val="24"/>
          <w:lang w:val="en-US"/>
        </w:rPr>
        <w:t xml:space="preserve"> </w:t>
      </w:r>
    </w:p>
    <w:p w14:paraId="2097A2C6" w14:textId="6B043CEA" w:rsidR="00FC1626" w:rsidRPr="00E97BE5" w:rsidRDefault="00E52694" w:rsidP="009077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paper we consider </w:t>
      </w:r>
      <w:r w:rsidR="00702AD0">
        <w:rPr>
          <w:rFonts w:ascii="Times New Roman" w:hAnsi="Times New Roman" w:cs="Times New Roman"/>
          <w:sz w:val="24"/>
          <w:szCs w:val="24"/>
          <w:lang w:val="en-US"/>
        </w:rPr>
        <w:t>the costs and benefits of an ownership structure which is extremely long-term</w:t>
      </w:r>
      <w:r w:rsidR="00702AD0" w:rsidRPr="00702AD0">
        <w:rPr>
          <w:rFonts w:ascii="Times New Roman" w:hAnsi="Times New Roman" w:cs="Times New Roman"/>
          <w:sz w:val="24"/>
          <w:szCs w:val="24"/>
          <w:lang w:val="en-US"/>
        </w:rPr>
        <w:t xml:space="preserve"> </w:t>
      </w:r>
      <w:r w:rsidR="00702AD0">
        <w:rPr>
          <w:rFonts w:ascii="Times New Roman" w:hAnsi="Times New Roman" w:cs="Times New Roman"/>
          <w:sz w:val="24"/>
          <w:szCs w:val="24"/>
          <w:lang w:val="en-US"/>
        </w:rPr>
        <w:t xml:space="preserve">by design, </w:t>
      </w:r>
      <w:r w:rsidR="0090770D">
        <w:rPr>
          <w:rFonts w:ascii="Times New Roman" w:hAnsi="Times New Roman" w:cs="Times New Roman"/>
          <w:sz w:val="24"/>
          <w:szCs w:val="24"/>
          <w:lang w:val="en-US"/>
        </w:rPr>
        <w:t>industrial foundations, which are created to as long term owners of business companies</w:t>
      </w:r>
      <w:r w:rsidR="00702AD0">
        <w:rPr>
          <w:rFonts w:ascii="Times New Roman" w:hAnsi="Times New Roman" w:cs="Times New Roman"/>
          <w:sz w:val="24"/>
          <w:szCs w:val="24"/>
          <w:lang w:val="en-US"/>
        </w:rPr>
        <w:t>.</w:t>
      </w:r>
      <w:r w:rsidR="0090770D">
        <w:rPr>
          <w:rFonts w:ascii="Times New Roman" w:hAnsi="Times New Roman" w:cs="Times New Roman"/>
          <w:sz w:val="24"/>
          <w:szCs w:val="24"/>
          <w:lang w:val="en-US"/>
        </w:rPr>
        <w:t xml:space="preserve"> These entities</w:t>
      </w:r>
      <w:r>
        <w:rPr>
          <w:rFonts w:ascii="Times New Roman" w:hAnsi="Times New Roman" w:cs="Times New Roman"/>
          <w:sz w:val="24"/>
          <w:szCs w:val="24"/>
          <w:lang w:val="en-US"/>
        </w:rPr>
        <w:t xml:space="preserve"> are fairly common in Northern Europe, and we use a Danish dataset to examine </w:t>
      </w:r>
      <w:r w:rsidR="0090770D">
        <w:rPr>
          <w:rFonts w:ascii="Times New Roman" w:hAnsi="Times New Roman" w:cs="Times New Roman"/>
          <w:sz w:val="24"/>
          <w:szCs w:val="24"/>
          <w:lang w:val="en-US"/>
        </w:rPr>
        <w:t xml:space="preserve">whether they are </w:t>
      </w:r>
      <w:r>
        <w:rPr>
          <w:rFonts w:ascii="Times New Roman" w:hAnsi="Times New Roman" w:cs="Times New Roman"/>
          <w:sz w:val="24"/>
          <w:szCs w:val="24"/>
          <w:lang w:val="en-US"/>
        </w:rPr>
        <w:t xml:space="preserve">long-term </w:t>
      </w:r>
      <w:r w:rsidR="0090770D">
        <w:rPr>
          <w:rFonts w:ascii="Times New Roman" w:hAnsi="Times New Roman" w:cs="Times New Roman"/>
          <w:sz w:val="24"/>
          <w:szCs w:val="24"/>
          <w:lang w:val="en-US"/>
        </w:rPr>
        <w:t xml:space="preserve">over a range of characteristics and whether their </w:t>
      </w:r>
      <w:proofErr w:type="spellStart"/>
      <w:r w:rsidR="0090770D">
        <w:rPr>
          <w:rFonts w:ascii="Times New Roman" w:hAnsi="Times New Roman" w:cs="Times New Roman"/>
          <w:sz w:val="24"/>
          <w:szCs w:val="24"/>
          <w:lang w:val="en-US"/>
        </w:rPr>
        <w:t>longtermism</w:t>
      </w:r>
      <w:proofErr w:type="spellEnd"/>
      <w:r w:rsidR="0090770D">
        <w:rPr>
          <w:rFonts w:ascii="Times New Roman" w:hAnsi="Times New Roman" w:cs="Times New Roman"/>
          <w:sz w:val="24"/>
          <w:szCs w:val="24"/>
          <w:lang w:val="en-US"/>
        </w:rPr>
        <w:t xml:space="preserve"> appears to benefit the companies that they own</w:t>
      </w:r>
      <w:r>
        <w:rPr>
          <w:rFonts w:ascii="Times New Roman" w:hAnsi="Times New Roman" w:cs="Times New Roman"/>
          <w:sz w:val="24"/>
          <w:szCs w:val="24"/>
          <w:lang w:val="en-US"/>
        </w:rPr>
        <w:t>. W</w:t>
      </w:r>
      <w:r w:rsidR="00386244" w:rsidRPr="007A4EB5">
        <w:rPr>
          <w:rFonts w:ascii="Times New Roman" w:hAnsi="Times New Roman" w:cs="Times New Roman"/>
          <w:sz w:val="24"/>
          <w:szCs w:val="24"/>
          <w:lang w:val="en-US"/>
        </w:rPr>
        <w:t xml:space="preserve">e </w:t>
      </w:r>
      <w:r w:rsidR="002514E7" w:rsidRPr="007A4EB5">
        <w:rPr>
          <w:rFonts w:ascii="Times New Roman" w:hAnsi="Times New Roman" w:cs="Times New Roman"/>
          <w:sz w:val="24"/>
          <w:szCs w:val="24"/>
          <w:lang w:val="en-US"/>
        </w:rPr>
        <w:t>test th</w:t>
      </w:r>
      <w:r>
        <w:rPr>
          <w:rFonts w:ascii="Times New Roman" w:hAnsi="Times New Roman" w:cs="Times New Roman"/>
          <w:sz w:val="24"/>
          <w:szCs w:val="24"/>
          <w:lang w:val="en-US"/>
        </w:rPr>
        <w:t>e long-termi</w:t>
      </w:r>
      <w:r w:rsidR="006B20C3">
        <w:rPr>
          <w:rFonts w:ascii="Times New Roman" w:hAnsi="Times New Roman" w:cs="Times New Roman"/>
          <w:sz w:val="24"/>
          <w:szCs w:val="24"/>
          <w:lang w:val="en-US"/>
        </w:rPr>
        <w:t>sm</w:t>
      </w:r>
      <w:r w:rsidR="002514E7" w:rsidRPr="007A4EB5">
        <w:rPr>
          <w:rFonts w:ascii="Times New Roman" w:hAnsi="Times New Roman" w:cs="Times New Roman"/>
          <w:sz w:val="24"/>
          <w:szCs w:val="24"/>
          <w:lang w:val="en-US"/>
        </w:rPr>
        <w:t xml:space="preserve"> hypothesis on </w:t>
      </w:r>
      <w:r w:rsidR="0090770D">
        <w:rPr>
          <w:rFonts w:ascii="Times New Roman" w:hAnsi="Times New Roman" w:cs="Times New Roman"/>
          <w:sz w:val="24"/>
          <w:szCs w:val="24"/>
          <w:lang w:val="en-US"/>
        </w:rPr>
        <w:t>population data on</w:t>
      </w:r>
      <w:r w:rsidR="002514E7" w:rsidRPr="007A4EB5">
        <w:rPr>
          <w:rFonts w:ascii="Times New Roman" w:hAnsi="Times New Roman" w:cs="Times New Roman"/>
          <w:sz w:val="24"/>
          <w:szCs w:val="24"/>
          <w:lang w:val="en-US"/>
        </w:rPr>
        <w:t xml:space="preserve"> Danish firms </w:t>
      </w:r>
      <w:r w:rsidR="007D249E" w:rsidRPr="00720F18">
        <w:rPr>
          <w:rFonts w:ascii="Times New Roman" w:hAnsi="Times New Roman" w:cs="Times New Roman"/>
          <w:sz w:val="24"/>
          <w:szCs w:val="24"/>
          <w:lang w:val="en-US"/>
        </w:rPr>
        <w:t xml:space="preserve">from </w:t>
      </w:r>
      <w:r w:rsidR="002514E7" w:rsidRPr="00720F18">
        <w:rPr>
          <w:rFonts w:ascii="Times New Roman" w:hAnsi="Times New Roman" w:cs="Times New Roman"/>
          <w:sz w:val="24"/>
          <w:szCs w:val="24"/>
          <w:lang w:val="en-US"/>
        </w:rPr>
        <w:t>2003-2012.</w:t>
      </w:r>
      <w:r w:rsidR="006B20C3">
        <w:rPr>
          <w:rFonts w:ascii="Times New Roman" w:hAnsi="Times New Roman" w:cs="Times New Roman"/>
          <w:sz w:val="24"/>
          <w:szCs w:val="24"/>
          <w:lang w:val="en-US"/>
        </w:rPr>
        <w:t xml:space="preserve"> </w:t>
      </w:r>
      <w:r w:rsidR="000711E1" w:rsidRPr="006516E0">
        <w:rPr>
          <w:rFonts w:ascii="Times New Roman" w:hAnsi="Times New Roman" w:cs="Times New Roman"/>
          <w:sz w:val="24"/>
          <w:szCs w:val="24"/>
          <w:lang w:val="en-US"/>
        </w:rPr>
        <w:t xml:space="preserve">Using population data reported to a comprehensive accounting database (Experian), we are able to track (almost) all of the Danish foundation-owned companies, which account for an estimated 5-10 % of </w:t>
      </w:r>
      <w:r w:rsidR="007D249E" w:rsidRPr="00944612">
        <w:rPr>
          <w:rFonts w:ascii="Times New Roman" w:hAnsi="Times New Roman" w:cs="Times New Roman"/>
          <w:sz w:val="24"/>
          <w:szCs w:val="24"/>
          <w:lang w:val="en-US"/>
        </w:rPr>
        <w:t xml:space="preserve">the </w:t>
      </w:r>
      <w:r w:rsidR="000711E1" w:rsidRPr="00944612">
        <w:rPr>
          <w:rFonts w:ascii="Times New Roman" w:hAnsi="Times New Roman" w:cs="Times New Roman"/>
          <w:sz w:val="24"/>
          <w:szCs w:val="24"/>
          <w:lang w:val="en-US"/>
        </w:rPr>
        <w:t>economic activity</w:t>
      </w:r>
      <w:r w:rsidR="007D249E" w:rsidRPr="007A4EB5">
        <w:rPr>
          <w:rFonts w:ascii="Times New Roman" w:hAnsi="Times New Roman" w:cs="Times New Roman"/>
          <w:sz w:val="24"/>
          <w:szCs w:val="24"/>
          <w:lang w:val="en-US"/>
        </w:rPr>
        <w:t xml:space="preserve"> in Denmark</w:t>
      </w:r>
      <w:r w:rsidR="000711E1" w:rsidRPr="007A4EB5">
        <w:rPr>
          <w:rFonts w:ascii="Times New Roman" w:hAnsi="Times New Roman" w:cs="Times New Roman"/>
          <w:sz w:val="24"/>
          <w:szCs w:val="24"/>
          <w:lang w:val="en-US"/>
        </w:rPr>
        <w:t>, the bulk of Danish stock market capi</w:t>
      </w:r>
      <w:r w:rsidR="000711E1" w:rsidRPr="00720F18">
        <w:rPr>
          <w:rFonts w:ascii="Times New Roman" w:hAnsi="Times New Roman" w:cs="Times New Roman"/>
          <w:sz w:val="24"/>
          <w:szCs w:val="24"/>
          <w:lang w:val="en-US"/>
        </w:rPr>
        <w:t xml:space="preserve">talization and the bulk of Danish R&amp;D investments.  </w:t>
      </w:r>
    </w:p>
    <w:p w14:paraId="3603CCEF" w14:textId="0D58B140" w:rsidR="006B20C3" w:rsidRDefault="006B20C3" w:rsidP="006B20C3">
      <w:pPr>
        <w:jc w:val="both"/>
        <w:rPr>
          <w:rFonts w:ascii="Times New Roman" w:hAnsi="Times New Roman" w:cs="Times New Roman"/>
          <w:sz w:val="24"/>
          <w:szCs w:val="24"/>
          <w:lang w:val="en-US"/>
        </w:rPr>
      </w:pPr>
      <w:r>
        <w:rPr>
          <w:rFonts w:ascii="Times New Roman" w:hAnsi="Times New Roman" w:cs="Times New Roman"/>
          <w:sz w:val="24"/>
          <w:szCs w:val="24"/>
          <w:lang w:val="en-US"/>
        </w:rPr>
        <w:t>We show that foundation-owned companies do in fact show evidence of long-termism in several respects. The foundations hold on to their shares</w:t>
      </w:r>
      <w:r w:rsidR="00882C51">
        <w:rPr>
          <w:rFonts w:ascii="Times New Roman" w:hAnsi="Times New Roman" w:cs="Times New Roman"/>
          <w:sz w:val="24"/>
          <w:szCs w:val="24"/>
          <w:lang w:val="en-US"/>
        </w:rPr>
        <w:t xml:space="preserve"> for longer</w:t>
      </w:r>
      <w:r>
        <w:rPr>
          <w:rFonts w:ascii="Times New Roman" w:hAnsi="Times New Roman" w:cs="Times New Roman"/>
          <w:sz w:val="24"/>
          <w:szCs w:val="24"/>
          <w:lang w:val="en-US"/>
        </w:rPr>
        <w:t xml:space="preserve">. Foundation-owned companies replace managers and board members less frequently. They have more conservative capital structures with less leverage.  They survive longer. </w:t>
      </w:r>
    </w:p>
    <w:p w14:paraId="114AFACA" w14:textId="77777777" w:rsidR="006B20C3" w:rsidRPr="004D76E4" w:rsidRDefault="006B20C3" w:rsidP="006B20C3">
      <w:pPr>
        <w:jc w:val="both"/>
        <w:rPr>
          <w:rFonts w:ascii="Times New Roman" w:hAnsi="Times New Roman" w:cs="Times New Roman"/>
          <w:sz w:val="24"/>
          <w:szCs w:val="24"/>
          <w:lang w:val="en-US"/>
        </w:rPr>
      </w:pPr>
    </w:p>
    <w:p w14:paraId="2C822E19" w14:textId="77777777" w:rsidR="00CD12DA" w:rsidRDefault="00CC7FDD" w:rsidP="00FC1626">
      <w:pPr>
        <w:rPr>
          <w:rFonts w:ascii="Times New Roman" w:hAnsi="Times New Roman" w:cs="Times New Roman"/>
          <w:b/>
          <w:sz w:val="24"/>
          <w:szCs w:val="24"/>
          <w:lang w:val="en-US"/>
        </w:rPr>
      </w:pPr>
      <w:r w:rsidRPr="003F7206">
        <w:rPr>
          <w:rFonts w:ascii="Times New Roman" w:hAnsi="Times New Roman" w:cs="Times New Roman"/>
          <w:b/>
          <w:sz w:val="24"/>
          <w:szCs w:val="24"/>
          <w:lang w:val="en-US"/>
        </w:rPr>
        <w:t>2</w:t>
      </w:r>
      <w:r w:rsidR="00CD12DA" w:rsidRPr="00814C87">
        <w:rPr>
          <w:rFonts w:ascii="Times New Roman" w:hAnsi="Times New Roman" w:cs="Times New Roman"/>
          <w:b/>
          <w:sz w:val="24"/>
          <w:szCs w:val="24"/>
          <w:lang w:val="en-US"/>
        </w:rPr>
        <w:t>. Literature</w:t>
      </w:r>
      <w:r w:rsidRPr="009C4D49">
        <w:rPr>
          <w:rFonts w:ascii="Times New Roman" w:hAnsi="Times New Roman" w:cs="Times New Roman"/>
          <w:b/>
          <w:sz w:val="24"/>
          <w:szCs w:val="24"/>
          <w:lang w:val="en-US"/>
        </w:rPr>
        <w:t xml:space="preserve"> </w:t>
      </w:r>
      <w:r w:rsidR="00FE224F" w:rsidRPr="006C34DD">
        <w:rPr>
          <w:rFonts w:ascii="Times New Roman" w:hAnsi="Times New Roman" w:cs="Times New Roman"/>
          <w:b/>
          <w:sz w:val="24"/>
          <w:szCs w:val="24"/>
          <w:lang w:val="en-US"/>
        </w:rPr>
        <w:t xml:space="preserve">review </w:t>
      </w:r>
      <w:r w:rsidR="00EA2F5E" w:rsidRPr="006C34DD">
        <w:rPr>
          <w:rFonts w:ascii="Times New Roman" w:hAnsi="Times New Roman" w:cs="Times New Roman"/>
          <w:b/>
          <w:sz w:val="24"/>
          <w:szCs w:val="24"/>
          <w:lang w:val="en-US"/>
        </w:rPr>
        <w:t>a</w:t>
      </w:r>
      <w:r w:rsidRPr="006C34DD">
        <w:rPr>
          <w:rFonts w:ascii="Times New Roman" w:hAnsi="Times New Roman" w:cs="Times New Roman"/>
          <w:b/>
          <w:sz w:val="24"/>
          <w:szCs w:val="24"/>
          <w:lang w:val="en-US"/>
        </w:rPr>
        <w:t>nd theory development</w:t>
      </w:r>
    </w:p>
    <w:p w14:paraId="559639DA" w14:textId="5B711271" w:rsidR="00D81BEF" w:rsidRDefault="007F3CCD" w:rsidP="00CC7FDD">
      <w:pPr>
        <w:rPr>
          <w:rFonts w:ascii="Times New Roman" w:hAnsi="Times New Roman" w:cs="Times New Roman"/>
          <w:sz w:val="24"/>
          <w:szCs w:val="24"/>
          <w:lang w:val="en-US"/>
        </w:rPr>
      </w:pPr>
      <w:r>
        <w:rPr>
          <w:rFonts w:ascii="Times New Roman" w:hAnsi="Times New Roman" w:cs="Times New Roman"/>
          <w:sz w:val="24"/>
          <w:szCs w:val="24"/>
          <w:lang w:val="en-US"/>
        </w:rPr>
        <w:t>I</w:t>
      </w:r>
      <w:r w:rsidR="00C31D53" w:rsidRPr="004D76E4">
        <w:rPr>
          <w:rFonts w:ascii="Times New Roman" w:hAnsi="Times New Roman" w:cs="Times New Roman"/>
          <w:sz w:val="24"/>
          <w:szCs w:val="24"/>
          <w:lang w:val="en-US"/>
        </w:rPr>
        <w:t xml:space="preserve">ndustrial foundations </w:t>
      </w:r>
      <w:r w:rsidR="00D81BEF">
        <w:rPr>
          <w:rFonts w:ascii="Times New Roman" w:hAnsi="Times New Roman" w:cs="Times New Roman"/>
          <w:sz w:val="24"/>
          <w:szCs w:val="24"/>
          <w:lang w:val="en-US"/>
        </w:rPr>
        <w:t xml:space="preserve">are </w:t>
      </w:r>
      <w:r w:rsidR="00C31D53" w:rsidRPr="004D76E4">
        <w:rPr>
          <w:rFonts w:ascii="Times New Roman" w:hAnsi="Times New Roman" w:cs="Times New Roman"/>
          <w:sz w:val="24"/>
          <w:szCs w:val="24"/>
          <w:lang w:val="en-US"/>
        </w:rPr>
        <w:t>foundations that own companies</w:t>
      </w:r>
      <w:r w:rsidR="00D81BEF">
        <w:rPr>
          <w:rFonts w:ascii="Times New Roman" w:hAnsi="Times New Roman" w:cs="Times New Roman"/>
          <w:sz w:val="24"/>
          <w:szCs w:val="24"/>
          <w:lang w:val="en-US"/>
        </w:rPr>
        <w:t xml:space="preserve">. They were most often created by wealthy entrepreneurs who donated their shares in a company to a charitable foundation for much the same reasons that Bill Gates and Warrant Buffet donate their wealth to charitable purposes. The main </w:t>
      </w:r>
      <w:proofErr w:type="gramStart"/>
      <w:r w:rsidR="00D81BEF">
        <w:rPr>
          <w:rFonts w:ascii="Times New Roman" w:hAnsi="Times New Roman" w:cs="Times New Roman"/>
          <w:sz w:val="24"/>
          <w:szCs w:val="24"/>
          <w:lang w:val="en-US"/>
        </w:rPr>
        <w:t>difference is that the Danish foundation hold on their stock in the company and finance</w:t>
      </w:r>
      <w:proofErr w:type="gramEnd"/>
      <w:r w:rsidR="00D81BEF">
        <w:rPr>
          <w:rFonts w:ascii="Times New Roman" w:hAnsi="Times New Roman" w:cs="Times New Roman"/>
          <w:sz w:val="24"/>
          <w:szCs w:val="24"/>
          <w:lang w:val="en-US"/>
        </w:rPr>
        <w:t xml:space="preserve"> their charity by dividends</w:t>
      </w:r>
      <w:r w:rsidR="005A5A4C">
        <w:rPr>
          <w:rFonts w:ascii="Times New Roman" w:hAnsi="Times New Roman" w:cs="Times New Roman"/>
          <w:sz w:val="24"/>
          <w:szCs w:val="24"/>
          <w:lang w:val="en-US"/>
        </w:rPr>
        <w:t xml:space="preserve"> from the company.  M</w:t>
      </w:r>
      <w:r w:rsidR="0068130B">
        <w:rPr>
          <w:rFonts w:ascii="Times New Roman" w:hAnsi="Times New Roman" w:cs="Times New Roman"/>
          <w:sz w:val="24"/>
          <w:szCs w:val="24"/>
          <w:lang w:val="en-US"/>
        </w:rPr>
        <w:t xml:space="preserve">oreover, a main purpose of the foundation is </w:t>
      </w:r>
      <w:r w:rsidR="00641DF0">
        <w:rPr>
          <w:rFonts w:ascii="Times New Roman" w:hAnsi="Times New Roman" w:cs="Times New Roman"/>
          <w:sz w:val="24"/>
          <w:szCs w:val="24"/>
          <w:lang w:val="en-US"/>
        </w:rPr>
        <w:t xml:space="preserve">typically </w:t>
      </w:r>
      <w:r w:rsidR="0068130B">
        <w:rPr>
          <w:rFonts w:ascii="Times New Roman" w:hAnsi="Times New Roman" w:cs="Times New Roman"/>
          <w:sz w:val="24"/>
          <w:szCs w:val="24"/>
          <w:lang w:val="en-US"/>
        </w:rPr>
        <w:t xml:space="preserve">to act as responsible owner in the company’s best interest. </w:t>
      </w:r>
      <w:r w:rsidR="005A5A4C">
        <w:rPr>
          <w:rFonts w:ascii="Times New Roman" w:hAnsi="Times New Roman" w:cs="Times New Roman"/>
          <w:sz w:val="24"/>
          <w:szCs w:val="24"/>
          <w:lang w:val="en-US"/>
        </w:rPr>
        <w:t>This structure was not uncommon in the US (in fact the Ford foundation was originally intended as an industrial foundation in this style), until US foundation law was changed in 1969.</w:t>
      </w:r>
      <w:r w:rsidR="00D81BEF">
        <w:rPr>
          <w:rFonts w:ascii="Times New Roman" w:hAnsi="Times New Roman" w:cs="Times New Roman"/>
          <w:sz w:val="24"/>
          <w:szCs w:val="24"/>
          <w:lang w:val="en-US"/>
        </w:rPr>
        <w:t xml:space="preserve">  </w:t>
      </w:r>
      <w:r w:rsidR="00CC7FDD" w:rsidRPr="004D76E4">
        <w:rPr>
          <w:rFonts w:ascii="Times New Roman" w:hAnsi="Times New Roman" w:cs="Times New Roman"/>
          <w:sz w:val="24"/>
          <w:szCs w:val="24"/>
          <w:lang w:val="en-US"/>
        </w:rPr>
        <w:t xml:space="preserve"> </w:t>
      </w:r>
    </w:p>
    <w:p w14:paraId="5540B0DC" w14:textId="09FEE8B3" w:rsidR="0068130B" w:rsidRDefault="00641DF0" w:rsidP="00CC7FDD">
      <w:pPr>
        <w:rPr>
          <w:rFonts w:ascii="Times New Roman" w:hAnsi="Times New Roman" w:cs="Times New Roman"/>
          <w:sz w:val="24"/>
          <w:szCs w:val="24"/>
          <w:lang w:val="en-US"/>
        </w:rPr>
      </w:pPr>
      <w:r>
        <w:rPr>
          <w:rFonts w:ascii="Times New Roman" w:hAnsi="Times New Roman" w:cs="Times New Roman"/>
          <w:sz w:val="24"/>
          <w:szCs w:val="24"/>
          <w:lang w:val="en-US"/>
        </w:rPr>
        <w:t xml:space="preserve">By design industrial foundations are long term owners. In some cases the foundation charter will formally prohibit </w:t>
      </w:r>
      <w:r w:rsidR="00BB2BEF">
        <w:rPr>
          <w:rFonts w:ascii="Times New Roman" w:hAnsi="Times New Roman" w:cs="Times New Roman"/>
          <w:sz w:val="24"/>
          <w:szCs w:val="24"/>
          <w:lang w:val="en-US"/>
        </w:rPr>
        <w:t xml:space="preserve">the foundations </w:t>
      </w:r>
      <w:r>
        <w:rPr>
          <w:rFonts w:ascii="Times New Roman" w:hAnsi="Times New Roman" w:cs="Times New Roman"/>
          <w:sz w:val="24"/>
          <w:szCs w:val="24"/>
          <w:lang w:val="en-US"/>
        </w:rPr>
        <w:t>from s</w:t>
      </w:r>
      <w:r w:rsidR="00BB2BEF">
        <w:rPr>
          <w:rFonts w:ascii="Times New Roman" w:hAnsi="Times New Roman" w:cs="Times New Roman"/>
          <w:sz w:val="24"/>
          <w:szCs w:val="24"/>
          <w:lang w:val="en-US"/>
        </w:rPr>
        <w:t xml:space="preserve">elling shares in the company or allow it only in an economic crisis.  More generally, the foundation’s ability </w:t>
      </w:r>
      <w:r w:rsidR="006358DD">
        <w:rPr>
          <w:rFonts w:ascii="Times New Roman" w:hAnsi="Times New Roman" w:cs="Times New Roman"/>
          <w:sz w:val="24"/>
          <w:szCs w:val="24"/>
          <w:lang w:val="en-US"/>
        </w:rPr>
        <w:t xml:space="preserve">fulfill an obligation </w:t>
      </w:r>
      <w:r w:rsidR="00BB2BEF">
        <w:rPr>
          <w:rFonts w:ascii="Times New Roman" w:hAnsi="Times New Roman" w:cs="Times New Roman"/>
          <w:sz w:val="24"/>
          <w:szCs w:val="24"/>
          <w:lang w:val="en-US"/>
        </w:rPr>
        <w:t xml:space="preserve">to act in the best interest of the company </w:t>
      </w:r>
      <w:r w:rsidR="004447C3">
        <w:rPr>
          <w:rFonts w:ascii="Times New Roman" w:hAnsi="Times New Roman" w:cs="Times New Roman"/>
          <w:sz w:val="24"/>
          <w:szCs w:val="24"/>
          <w:lang w:val="en-US"/>
        </w:rPr>
        <w:t xml:space="preserve">(which is found </w:t>
      </w:r>
      <w:r w:rsidR="006358DD">
        <w:rPr>
          <w:rFonts w:ascii="Times New Roman" w:hAnsi="Times New Roman" w:cs="Times New Roman"/>
          <w:sz w:val="24"/>
          <w:szCs w:val="24"/>
          <w:lang w:val="en-US"/>
        </w:rPr>
        <w:t>most charters</w:t>
      </w:r>
      <w:r w:rsidR="009E769B">
        <w:rPr>
          <w:rStyle w:val="FootnoteReference"/>
          <w:rFonts w:ascii="Times New Roman" w:hAnsi="Times New Roman" w:cs="Times New Roman"/>
          <w:sz w:val="24"/>
          <w:szCs w:val="24"/>
          <w:lang w:val="en-US"/>
        </w:rPr>
        <w:footnoteReference w:id="5"/>
      </w:r>
      <w:r w:rsidR="004447C3">
        <w:rPr>
          <w:rFonts w:ascii="Times New Roman" w:hAnsi="Times New Roman" w:cs="Times New Roman"/>
          <w:sz w:val="24"/>
          <w:szCs w:val="24"/>
          <w:lang w:val="en-US"/>
        </w:rPr>
        <w:t xml:space="preserve">) </w:t>
      </w:r>
      <w:r w:rsidR="00BB2BEF">
        <w:rPr>
          <w:rFonts w:ascii="Times New Roman" w:hAnsi="Times New Roman" w:cs="Times New Roman"/>
          <w:sz w:val="24"/>
          <w:szCs w:val="24"/>
          <w:lang w:val="en-US"/>
        </w:rPr>
        <w:t>will depend on its ability to maintain a controlling share in it.</w:t>
      </w:r>
      <w:r w:rsidR="009E769B">
        <w:rPr>
          <w:rFonts w:ascii="Times New Roman" w:hAnsi="Times New Roman" w:cs="Times New Roman"/>
          <w:sz w:val="24"/>
          <w:szCs w:val="24"/>
          <w:lang w:val="en-US"/>
        </w:rPr>
        <w:t xml:space="preserve"> The best interest of the company is difficult to define precisely, but maximizing survival appears to be a reasonable approximation.</w:t>
      </w:r>
    </w:p>
    <w:p w14:paraId="5668CD1A" w14:textId="5D49C845" w:rsidR="00C31D53" w:rsidRPr="004D76E4" w:rsidRDefault="006358DD" w:rsidP="00CC7FDD">
      <w:pPr>
        <w:rPr>
          <w:rFonts w:ascii="Times New Roman" w:hAnsi="Times New Roman" w:cs="Times New Roman"/>
          <w:sz w:val="24"/>
          <w:szCs w:val="24"/>
          <w:lang w:val="en-US"/>
        </w:rPr>
      </w:pPr>
      <w:r>
        <w:rPr>
          <w:rFonts w:ascii="Times New Roman" w:hAnsi="Times New Roman" w:cs="Times New Roman"/>
          <w:sz w:val="24"/>
          <w:szCs w:val="24"/>
          <w:lang w:val="en-US"/>
        </w:rPr>
        <w:t xml:space="preserve">Legally, industrial foundations are </w:t>
      </w:r>
      <w:r w:rsidR="00CC7FDD" w:rsidRPr="004D76E4">
        <w:rPr>
          <w:rFonts w:ascii="Times New Roman" w:hAnsi="Times New Roman" w:cs="Times New Roman"/>
          <w:sz w:val="24"/>
          <w:szCs w:val="24"/>
          <w:lang w:val="en-US"/>
        </w:rPr>
        <w:t xml:space="preserve">perpetuities and legally obliged to preserve their capital, which </w:t>
      </w:r>
      <w:r>
        <w:rPr>
          <w:rFonts w:ascii="Times New Roman" w:hAnsi="Times New Roman" w:cs="Times New Roman"/>
          <w:sz w:val="24"/>
          <w:szCs w:val="24"/>
          <w:lang w:val="en-US"/>
        </w:rPr>
        <w:t xml:space="preserve">largely </w:t>
      </w:r>
      <w:r w:rsidR="00CC7FDD" w:rsidRPr="004D76E4">
        <w:rPr>
          <w:rFonts w:ascii="Times New Roman" w:hAnsi="Times New Roman" w:cs="Times New Roman"/>
          <w:sz w:val="24"/>
          <w:szCs w:val="24"/>
          <w:lang w:val="en-US"/>
        </w:rPr>
        <w:t>consist</w:t>
      </w:r>
      <w:r>
        <w:rPr>
          <w:rFonts w:ascii="Times New Roman" w:hAnsi="Times New Roman" w:cs="Times New Roman"/>
          <w:sz w:val="24"/>
          <w:szCs w:val="24"/>
          <w:lang w:val="en-US"/>
        </w:rPr>
        <w:t>s</w:t>
      </w:r>
      <w:r w:rsidR="00CC7FDD" w:rsidRPr="004D76E4">
        <w:rPr>
          <w:rFonts w:ascii="Times New Roman" w:hAnsi="Times New Roman" w:cs="Times New Roman"/>
          <w:sz w:val="24"/>
          <w:szCs w:val="24"/>
          <w:lang w:val="en-US"/>
        </w:rPr>
        <w:t xml:space="preserve"> of stock in the companies that they own. </w:t>
      </w:r>
      <w:r w:rsidR="009E769B">
        <w:rPr>
          <w:rFonts w:ascii="Times New Roman" w:hAnsi="Times New Roman" w:cs="Times New Roman"/>
          <w:sz w:val="24"/>
          <w:szCs w:val="24"/>
          <w:lang w:val="en-US"/>
        </w:rPr>
        <w:t>This further underlines their long term nature. Unlike joint stock companies are cooperatives t</w:t>
      </w:r>
      <w:r>
        <w:rPr>
          <w:rFonts w:ascii="Times New Roman" w:hAnsi="Times New Roman" w:cs="Times New Roman"/>
          <w:sz w:val="24"/>
          <w:szCs w:val="24"/>
          <w:lang w:val="en-US"/>
        </w:rPr>
        <w:t>hey have no owners or members with a claim on capital or dividends</w:t>
      </w:r>
      <w:r w:rsidR="009E769B">
        <w:rPr>
          <w:rFonts w:ascii="Times New Roman" w:hAnsi="Times New Roman" w:cs="Times New Roman"/>
          <w:sz w:val="24"/>
          <w:szCs w:val="24"/>
          <w:lang w:val="en-US"/>
        </w:rPr>
        <w:t xml:space="preserve"> and so they are by design particularly patient owners</w:t>
      </w:r>
      <w:r>
        <w:rPr>
          <w:rFonts w:ascii="Times New Roman" w:hAnsi="Times New Roman" w:cs="Times New Roman"/>
          <w:sz w:val="24"/>
          <w:szCs w:val="24"/>
          <w:lang w:val="en-US"/>
        </w:rPr>
        <w:t>.</w:t>
      </w:r>
      <w:r w:rsidR="009E769B">
        <w:rPr>
          <w:rFonts w:ascii="Times New Roman" w:hAnsi="Times New Roman" w:cs="Times New Roman"/>
          <w:sz w:val="24"/>
          <w:szCs w:val="24"/>
          <w:lang w:val="en-US"/>
        </w:rPr>
        <w:t xml:space="preserve"> Moreover, foundations </w:t>
      </w:r>
      <w:r w:rsidR="009E769B">
        <w:rPr>
          <w:rFonts w:ascii="Times New Roman" w:hAnsi="Times New Roman" w:cs="Times New Roman"/>
          <w:sz w:val="24"/>
          <w:szCs w:val="24"/>
          <w:lang w:val="en-US"/>
        </w:rPr>
        <w:lastRenderedPageBreak/>
        <w:t>will typically</w:t>
      </w:r>
      <w:r w:rsidR="00CC7FDD" w:rsidRPr="004D76E4">
        <w:rPr>
          <w:rFonts w:ascii="Times New Roman" w:hAnsi="Times New Roman" w:cs="Times New Roman"/>
          <w:sz w:val="24"/>
          <w:szCs w:val="24"/>
          <w:lang w:val="en-US"/>
        </w:rPr>
        <w:t xml:space="preserve"> be risk adverse since their risk is concentrated in </w:t>
      </w:r>
      <w:r w:rsidR="009E769B">
        <w:rPr>
          <w:rFonts w:ascii="Times New Roman" w:hAnsi="Times New Roman" w:cs="Times New Roman"/>
          <w:sz w:val="24"/>
          <w:szCs w:val="24"/>
          <w:lang w:val="en-US"/>
        </w:rPr>
        <w:t>a single</w:t>
      </w:r>
      <w:r w:rsidR="00CC7FDD" w:rsidRPr="004D76E4">
        <w:rPr>
          <w:rFonts w:ascii="Times New Roman" w:hAnsi="Times New Roman" w:cs="Times New Roman"/>
          <w:sz w:val="24"/>
          <w:szCs w:val="24"/>
          <w:lang w:val="en-US"/>
        </w:rPr>
        <w:t xml:space="preserve"> company. </w:t>
      </w:r>
      <w:r w:rsidR="009E769B">
        <w:rPr>
          <w:rFonts w:ascii="Times New Roman" w:hAnsi="Times New Roman" w:cs="Times New Roman"/>
          <w:sz w:val="24"/>
          <w:szCs w:val="24"/>
          <w:lang w:val="en-US"/>
        </w:rPr>
        <w:t>Theoretically, this</w:t>
      </w:r>
      <w:r w:rsidR="00E73A62">
        <w:rPr>
          <w:rFonts w:ascii="Times New Roman" w:hAnsi="Times New Roman" w:cs="Times New Roman"/>
          <w:sz w:val="24"/>
          <w:szCs w:val="24"/>
          <w:lang w:val="en-US"/>
        </w:rPr>
        <w:t xml:space="preserve"> should make them risk averse and make them prefer </w:t>
      </w:r>
      <w:r w:rsidR="00892825" w:rsidRPr="004D76E4">
        <w:rPr>
          <w:rFonts w:ascii="Times New Roman" w:hAnsi="Times New Roman" w:cs="Times New Roman"/>
          <w:sz w:val="24"/>
          <w:szCs w:val="24"/>
          <w:lang w:val="en-US"/>
        </w:rPr>
        <w:t xml:space="preserve">lower </w:t>
      </w:r>
      <w:r w:rsidR="00E73A62">
        <w:rPr>
          <w:rFonts w:ascii="Times New Roman" w:hAnsi="Times New Roman" w:cs="Times New Roman"/>
          <w:sz w:val="24"/>
          <w:szCs w:val="24"/>
          <w:lang w:val="en-US"/>
        </w:rPr>
        <w:t xml:space="preserve">business volatility and lower financial leverage than other companies. </w:t>
      </w:r>
    </w:p>
    <w:p w14:paraId="37CD3A49" w14:textId="77777777" w:rsidR="00F21390" w:rsidRDefault="00E73A62" w:rsidP="00F21390">
      <w:pPr>
        <w:rPr>
          <w:rFonts w:ascii="Times New Roman" w:hAnsi="Times New Roman" w:cs="Times New Roman"/>
          <w:sz w:val="24"/>
          <w:szCs w:val="24"/>
          <w:lang w:val="en-US"/>
        </w:rPr>
      </w:pPr>
      <w:r>
        <w:rPr>
          <w:rFonts w:ascii="Times New Roman" w:hAnsi="Times New Roman" w:cs="Times New Roman"/>
          <w:sz w:val="24"/>
          <w:szCs w:val="24"/>
          <w:lang w:val="en-US"/>
        </w:rPr>
        <w:t>Finally</w:t>
      </w:r>
      <w:r w:rsidR="008B5E6E" w:rsidRPr="004D76E4">
        <w:rPr>
          <w:rFonts w:ascii="Times New Roman" w:hAnsi="Times New Roman" w:cs="Times New Roman"/>
          <w:sz w:val="24"/>
          <w:szCs w:val="24"/>
          <w:lang w:val="en-US"/>
        </w:rPr>
        <w:t xml:space="preserve">, the foundation-owned companies </w:t>
      </w:r>
      <w:r w:rsidR="00CC7FDD" w:rsidRPr="004D76E4">
        <w:rPr>
          <w:rFonts w:ascii="Times New Roman" w:hAnsi="Times New Roman" w:cs="Times New Roman"/>
          <w:sz w:val="24"/>
          <w:szCs w:val="24"/>
          <w:lang w:val="en-US"/>
        </w:rPr>
        <w:t>are sheltered from stock market fluctuations</w:t>
      </w:r>
      <w:r>
        <w:rPr>
          <w:rFonts w:ascii="Times New Roman" w:hAnsi="Times New Roman" w:cs="Times New Roman"/>
          <w:sz w:val="24"/>
          <w:szCs w:val="24"/>
          <w:lang w:val="en-US"/>
        </w:rPr>
        <w:t xml:space="preserve"> since the foundation owns a majority of the stock</w:t>
      </w:r>
      <w:r w:rsidR="007F3CCD">
        <w:rPr>
          <w:rFonts w:ascii="Times New Roman" w:hAnsi="Times New Roman" w:cs="Times New Roman"/>
          <w:sz w:val="24"/>
          <w:szCs w:val="24"/>
          <w:lang w:val="en-US"/>
        </w:rPr>
        <w:t>. T</w:t>
      </w:r>
      <w:r w:rsidR="00CC7FDD" w:rsidRPr="004D76E4">
        <w:rPr>
          <w:rFonts w:ascii="Times New Roman" w:hAnsi="Times New Roman" w:cs="Times New Roman"/>
          <w:sz w:val="24"/>
          <w:szCs w:val="24"/>
          <w:lang w:val="en-US"/>
        </w:rPr>
        <w:t xml:space="preserve">ypically </w:t>
      </w:r>
      <w:r>
        <w:rPr>
          <w:rFonts w:ascii="Times New Roman" w:hAnsi="Times New Roman" w:cs="Times New Roman"/>
          <w:sz w:val="24"/>
          <w:szCs w:val="24"/>
          <w:lang w:val="en-US"/>
        </w:rPr>
        <w:t>they</w:t>
      </w:r>
      <w:r w:rsidR="00772AF5" w:rsidRPr="004D76E4">
        <w:rPr>
          <w:rFonts w:ascii="Times New Roman" w:hAnsi="Times New Roman" w:cs="Times New Roman"/>
          <w:sz w:val="24"/>
          <w:szCs w:val="24"/>
          <w:lang w:val="en-US"/>
        </w:rPr>
        <w:t xml:space="preserve"> are </w:t>
      </w:r>
      <w:r w:rsidR="00CC7FDD" w:rsidRPr="004D76E4">
        <w:rPr>
          <w:rFonts w:ascii="Times New Roman" w:hAnsi="Times New Roman" w:cs="Times New Roman"/>
          <w:sz w:val="24"/>
          <w:szCs w:val="24"/>
          <w:lang w:val="en-US"/>
        </w:rPr>
        <w:t>not even listed</w:t>
      </w:r>
      <w:r w:rsidR="007F3CCD">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and even if they are, the foundation has a majority voting share which means that it can block attempts at hostile takeover or other types of shareholder rebellion</w:t>
      </w:r>
      <w:r w:rsidR="00CC7FDD" w:rsidRPr="004D76E4">
        <w:rPr>
          <w:rFonts w:ascii="Times New Roman" w:hAnsi="Times New Roman" w:cs="Times New Roman"/>
          <w:sz w:val="24"/>
          <w:szCs w:val="24"/>
          <w:lang w:val="en-US"/>
        </w:rPr>
        <w:t xml:space="preserve">. </w:t>
      </w:r>
      <w:r w:rsidR="00C31D53" w:rsidRPr="004D76E4">
        <w:rPr>
          <w:rFonts w:ascii="Times New Roman" w:hAnsi="Times New Roman" w:cs="Times New Roman"/>
          <w:sz w:val="24"/>
          <w:szCs w:val="24"/>
          <w:lang w:val="en-US"/>
        </w:rPr>
        <w:t xml:space="preserve">The few existing studies of foundation ownership have focused </w:t>
      </w:r>
      <w:r w:rsidR="00A65DD8">
        <w:rPr>
          <w:rFonts w:ascii="Times New Roman" w:hAnsi="Times New Roman" w:cs="Times New Roman"/>
          <w:sz w:val="24"/>
          <w:szCs w:val="24"/>
          <w:lang w:val="en-US"/>
        </w:rPr>
        <w:t>their</w:t>
      </w:r>
      <w:r w:rsidR="00C31D53" w:rsidRPr="004D76E4">
        <w:rPr>
          <w:rFonts w:ascii="Times New Roman" w:hAnsi="Times New Roman" w:cs="Times New Roman"/>
          <w:sz w:val="24"/>
          <w:szCs w:val="24"/>
          <w:lang w:val="en-US"/>
        </w:rPr>
        <w:t xml:space="preserve"> economic performance</w:t>
      </w:r>
      <w:r w:rsidR="00A65DD8">
        <w:rPr>
          <w:rFonts w:ascii="Times New Roman" w:hAnsi="Times New Roman" w:cs="Times New Roman"/>
          <w:sz w:val="24"/>
          <w:szCs w:val="24"/>
          <w:lang w:val="en-US"/>
        </w:rPr>
        <w:t xml:space="preserve"> which is found to be </w:t>
      </w:r>
      <w:r w:rsidR="00C31D53" w:rsidRPr="004D76E4">
        <w:rPr>
          <w:rFonts w:ascii="Times New Roman" w:hAnsi="Times New Roman" w:cs="Times New Roman"/>
          <w:sz w:val="24"/>
          <w:szCs w:val="24"/>
          <w:lang w:val="en-US"/>
        </w:rPr>
        <w:t xml:space="preserve"> </w:t>
      </w:r>
      <w:r w:rsidR="00A65DD8">
        <w:rPr>
          <w:rFonts w:ascii="Times New Roman" w:hAnsi="Times New Roman" w:cs="Times New Roman"/>
          <w:sz w:val="24"/>
          <w:szCs w:val="24"/>
          <w:lang w:val="en-US"/>
        </w:rPr>
        <w:t xml:space="preserve">comparable to </w:t>
      </w:r>
      <w:r w:rsidR="00A65DD8" w:rsidRPr="004D76E4">
        <w:rPr>
          <w:rFonts w:ascii="Times New Roman" w:hAnsi="Times New Roman" w:cs="Times New Roman"/>
          <w:sz w:val="24"/>
          <w:szCs w:val="24"/>
          <w:lang w:val="en-US"/>
        </w:rPr>
        <w:t>that of companies with more conventional ownership structures (Herrmann and Franke 2002, Thomsen 1996, 1999, Thomsen and Rose, 2004)</w:t>
      </w:r>
      <w:r w:rsidR="00A65DD8">
        <w:rPr>
          <w:rFonts w:ascii="Times New Roman" w:hAnsi="Times New Roman" w:cs="Times New Roman"/>
          <w:sz w:val="24"/>
          <w:szCs w:val="24"/>
          <w:lang w:val="en-US"/>
        </w:rPr>
        <w:t xml:space="preserve"> </w:t>
      </w:r>
      <w:r w:rsidR="00C31D53" w:rsidRPr="004D76E4">
        <w:rPr>
          <w:rFonts w:ascii="Times New Roman" w:hAnsi="Times New Roman" w:cs="Times New Roman"/>
          <w:sz w:val="24"/>
          <w:szCs w:val="24"/>
          <w:lang w:val="en-US"/>
        </w:rPr>
        <w:t>using performance measures such as accounting profitability, growth, stock market value, or stock returns.</w:t>
      </w:r>
      <w:r w:rsidR="00F21390">
        <w:rPr>
          <w:rFonts w:ascii="Times New Roman" w:hAnsi="Times New Roman" w:cs="Times New Roman"/>
          <w:sz w:val="24"/>
          <w:szCs w:val="24"/>
          <w:lang w:val="en-US"/>
        </w:rPr>
        <w:t xml:space="preserve"> </w:t>
      </w:r>
    </w:p>
    <w:p w14:paraId="0E2CE3CF" w14:textId="4752292C" w:rsidR="00F21390" w:rsidRDefault="00F21390" w:rsidP="00F21390">
      <w:pPr>
        <w:rPr>
          <w:rFonts w:ascii="Times New Roman" w:hAnsi="Times New Roman" w:cs="Times New Roman"/>
          <w:b/>
          <w:sz w:val="24"/>
          <w:szCs w:val="24"/>
          <w:lang w:val="en-US"/>
        </w:rPr>
      </w:pPr>
      <w:r>
        <w:rPr>
          <w:rFonts w:ascii="Times New Roman" w:hAnsi="Times New Roman" w:cs="Times New Roman"/>
          <w:sz w:val="24"/>
          <w:szCs w:val="24"/>
          <w:lang w:val="en-US"/>
        </w:rPr>
        <w:t xml:space="preserve">While the case for </w:t>
      </w:r>
      <w:proofErr w:type="spellStart"/>
      <w:r>
        <w:rPr>
          <w:rFonts w:ascii="Times New Roman" w:hAnsi="Times New Roman" w:cs="Times New Roman"/>
          <w:sz w:val="24"/>
          <w:szCs w:val="24"/>
          <w:lang w:val="en-US"/>
        </w:rPr>
        <w:t>longtermism</w:t>
      </w:r>
      <w:proofErr w:type="spellEnd"/>
      <w:r>
        <w:rPr>
          <w:rFonts w:ascii="Times New Roman" w:hAnsi="Times New Roman" w:cs="Times New Roman"/>
          <w:sz w:val="24"/>
          <w:szCs w:val="24"/>
          <w:lang w:val="en-US"/>
        </w:rPr>
        <w:t xml:space="preserve"> of foundation ownership appears to be compelling we note that there are also potential counter arguments</w:t>
      </w:r>
      <w:r w:rsidR="00670501">
        <w:rPr>
          <w:rFonts w:ascii="Times New Roman" w:hAnsi="Times New Roman" w:cs="Times New Roman"/>
          <w:sz w:val="24"/>
          <w:szCs w:val="24"/>
          <w:lang w:val="en-US"/>
        </w:rPr>
        <w:t xml:space="preserve"> which could make foundation-owned less short term</w:t>
      </w:r>
      <w:r>
        <w:rPr>
          <w:rFonts w:ascii="Times New Roman" w:hAnsi="Times New Roman" w:cs="Times New Roman"/>
          <w:sz w:val="24"/>
          <w:szCs w:val="24"/>
          <w:lang w:val="en-US"/>
        </w:rPr>
        <w:t xml:space="preserve">. For example, </w:t>
      </w:r>
      <w:r w:rsidR="00670501">
        <w:rPr>
          <w:rFonts w:ascii="Times New Roman" w:hAnsi="Times New Roman" w:cs="Times New Roman"/>
          <w:sz w:val="24"/>
          <w:szCs w:val="24"/>
          <w:lang w:val="en-US"/>
        </w:rPr>
        <w:t xml:space="preserve">theoretically, </w:t>
      </w:r>
      <w:r>
        <w:rPr>
          <w:rFonts w:ascii="Times New Roman" w:hAnsi="Times New Roman" w:cs="Times New Roman"/>
          <w:sz w:val="24"/>
          <w:szCs w:val="24"/>
          <w:lang w:val="en-US"/>
        </w:rPr>
        <w:t>lack of profit incentives could make foundation-owned companies less efficient and therefore less likely to survive. Moreover</w:t>
      </w:r>
      <w:r w:rsidR="00670501">
        <w:rPr>
          <w:rFonts w:ascii="Times New Roman" w:hAnsi="Times New Roman" w:cs="Times New Roman"/>
          <w:sz w:val="24"/>
          <w:szCs w:val="24"/>
          <w:lang w:val="en-US"/>
        </w:rPr>
        <w:t xml:space="preserve">, inability or unwillingness to tap into public equity and credit could constrain access to capital which could make foundation-owned companies less </w:t>
      </w:r>
      <w:proofErr w:type="spellStart"/>
      <w:r w:rsidR="00670501">
        <w:rPr>
          <w:rFonts w:ascii="Times New Roman" w:hAnsi="Times New Roman" w:cs="Times New Roman"/>
          <w:sz w:val="24"/>
          <w:szCs w:val="24"/>
          <w:lang w:val="en-US"/>
        </w:rPr>
        <w:t>longterm</w:t>
      </w:r>
      <w:proofErr w:type="spellEnd"/>
      <w:r w:rsidR="00670501">
        <w:rPr>
          <w:rFonts w:ascii="Times New Roman" w:hAnsi="Times New Roman" w:cs="Times New Roman"/>
          <w:sz w:val="24"/>
          <w:szCs w:val="24"/>
          <w:lang w:val="en-US"/>
        </w:rPr>
        <w:t xml:space="preserve"> than comparable investor-owned companies. Finally, as noted, there is no guarantee that </w:t>
      </w:r>
      <w:proofErr w:type="spellStart"/>
      <w:r w:rsidR="00670501">
        <w:rPr>
          <w:rFonts w:ascii="Times New Roman" w:hAnsi="Times New Roman" w:cs="Times New Roman"/>
          <w:sz w:val="24"/>
          <w:szCs w:val="24"/>
          <w:lang w:val="en-US"/>
        </w:rPr>
        <w:t>longtermism</w:t>
      </w:r>
      <w:proofErr w:type="spellEnd"/>
      <w:r w:rsidR="00670501">
        <w:rPr>
          <w:rFonts w:ascii="Times New Roman" w:hAnsi="Times New Roman" w:cs="Times New Roman"/>
          <w:sz w:val="24"/>
          <w:szCs w:val="24"/>
          <w:lang w:val="en-US"/>
        </w:rPr>
        <w:t xml:space="preserve"> is “better” for company performance under all circumstances. Hanging on to failing companies, overinvesting, being slow to fire inefficient managers or being adverse to risk-taking in general could all lower company performance which would be less sustainable and therefore less long-term in a true economic sense.</w:t>
      </w:r>
    </w:p>
    <w:p w14:paraId="0E80191E" w14:textId="3FC89F3E" w:rsidR="00E73A62" w:rsidRDefault="00670501" w:rsidP="00A606F3">
      <w:pPr>
        <w:rPr>
          <w:rFonts w:ascii="Times New Roman" w:hAnsi="Times New Roman" w:cs="Times New Roman"/>
          <w:sz w:val="24"/>
          <w:szCs w:val="24"/>
          <w:lang w:val="en-US"/>
        </w:rPr>
      </w:pPr>
      <w:r>
        <w:rPr>
          <w:rFonts w:ascii="Times New Roman" w:hAnsi="Times New Roman" w:cs="Times New Roman"/>
          <w:sz w:val="24"/>
          <w:szCs w:val="24"/>
          <w:lang w:val="en-US"/>
        </w:rPr>
        <w:t>S</w:t>
      </w:r>
      <w:r w:rsidR="00E73A62">
        <w:rPr>
          <w:rFonts w:ascii="Times New Roman" w:hAnsi="Times New Roman" w:cs="Times New Roman"/>
          <w:sz w:val="24"/>
          <w:szCs w:val="24"/>
          <w:lang w:val="en-US"/>
        </w:rPr>
        <w:t>o far no studies have documented whether industrial foundations are in fact long-term owners</w:t>
      </w:r>
      <w:r w:rsidR="00F45685">
        <w:rPr>
          <w:rFonts w:ascii="Times New Roman" w:hAnsi="Times New Roman" w:cs="Times New Roman"/>
          <w:sz w:val="24"/>
          <w:szCs w:val="24"/>
          <w:lang w:val="en-US"/>
        </w:rPr>
        <w:t xml:space="preserve">, so this is what we do in the present paper.  We examine how industrial foundations score on various measures (or facets) of </w:t>
      </w:r>
      <w:proofErr w:type="spellStart"/>
      <w:r w:rsidR="00F45685">
        <w:rPr>
          <w:rFonts w:ascii="Times New Roman" w:hAnsi="Times New Roman" w:cs="Times New Roman"/>
          <w:sz w:val="24"/>
          <w:szCs w:val="24"/>
          <w:lang w:val="en-US"/>
        </w:rPr>
        <w:t>longtermism</w:t>
      </w:r>
      <w:proofErr w:type="spellEnd"/>
      <w:r w:rsidR="00F45685">
        <w:rPr>
          <w:rFonts w:ascii="Times New Roman" w:hAnsi="Times New Roman" w:cs="Times New Roman"/>
          <w:sz w:val="24"/>
          <w:szCs w:val="24"/>
          <w:lang w:val="en-US"/>
        </w:rPr>
        <w:t xml:space="preserve"> such as stability of ownership, stability of management, low leverage, high investments and high survival rates. </w:t>
      </w:r>
      <w:r>
        <w:rPr>
          <w:rFonts w:ascii="Times New Roman" w:hAnsi="Times New Roman" w:cs="Times New Roman"/>
          <w:sz w:val="24"/>
          <w:szCs w:val="24"/>
          <w:lang w:val="en-US"/>
        </w:rPr>
        <w:t xml:space="preserve">Moreover, we also try to assess the consequences of such </w:t>
      </w:r>
      <w:proofErr w:type="spellStart"/>
      <w:r>
        <w:rPr>
          <w:rFonts w:ascii="Times New Roman" w:hAnsi="Times New Roman" w:cs="Times New Roman"/>
          <w:sz w:val="24"/>
          <w:szCs w:val="24"/>
          <w:lang w:val="en-US"/>
        </w:rPr>
        <w:t>longtermism</w:t>
      </w:r>
      <w:proofErr w:type="spellEnd"/>
      <w:r>
        <w:rPr>
          <w:rFonts w:ascii="Times New Roman" w:hAnsi="Times New Roman" w:cs="Times New Roman"/>
          <w:sz w:val="24"/>
          <w:szCs w:val="24"/>
          <w:lang w:val="en-US"/>
        </w:rPr>
        <w:t xml:space="preserve"> for the overall performance of foundation-owned companies.</w:t>
      </w:r>
    </w:p>
    <w:p w14:paraId="635051CA" w14:textId="77777777" w:rsidR="00E73A62" w:rsidRDefault="00E73A62" w:rsidP="00A606F3">
      <w:pPr>
        <w:rPr>
          <w:rFonts w:ascii="Times New Roman" w:hAnsi="Times New Roman" w:cs="Times New Roman"/>
          <w:b/>
          <w:sz w:val="24"/>
          <w:szCs w:val="24"/>
          <w:lang w:val="en-US"/>
        </w:rPr>
      </w:pPr>
    </w:p>
    <w:p w14:paraId="557B717B" w14:textId="018F6A6D" w:rsidR="004034BD" w:rsidRPr="006A6F93" w:rsidRDefault="004034BD" w:rsidP="004034BD">
      <w:pPr>
        <w:rPr>
          <w:rFonts w:ascii="Times New Roman" w:hAnsi="Times New Roman" w:cs="Times New Roman"/>
          <w:b/>
          <w:sz w:val="24"/>
          <w:szCs w:val="24"/>
          <w:lang w:val="en-US"/>
        </w:rPr>
      </w:pPr>
      <w:r w:rsidRPr="006A6F93">
        <w:rPr>
          <w:rFonts w:ascii="Times New Roman" w:hAnsi="Times New Roman" w:cs="Times New Roman"/>
          <w:b/>
          <w:sz w:val="24"/>
          <w:szCs w:val="24"/>
          <w:lang w:val="en-US"/>
        </w:rPr>
        <w:t>3. Data</w:t>
      </w:r>
    </w:p>
    <w:p w14:paraId="7BBD5FB6" w14:textId="77777777" w:rsidR="004034BD" w:rsidRPr="006A6F93" w:rsidRDefault="004034BD" w:rsidP="004034BD">
      <w:pPr>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 xml:space="preserve">The data for this study comes from five different registers. They are all based on mandatory information reported by corporations to the Danish Business Authority. First, we use the Danish Business Authority’s register of industrial foundation to identify the industrial foundations. The purpose of a foundation is not in the register, so in order to remove foundations without business activity outside the foundations and foundations with charitable and government-linked activities (registered at industrial foundations), we clean the list by hand. XX foundation-year observations are deleted in this process, leaving us with YY foundation-years observations for the time period from 2000 to 2011. We then add data from the four other registers with information on firm </w:t>
      </w:r>
      <w:r w:rsidRPr="006A6F93">
        <w:rPr>
          <w:rFonts w:ascii="Times New Roman" w:hAnsi="Times New Roman" w:cs="Times New Roman"/>
          <w:sz w:val="24"/>
          <w:szCs w:val="24"/>
          <w:lang w:val="en-US"/>
        </w:rPr>
        <w:lastRenderedPageBreak/>
        <w:t xml:space="preserve">ownership (who owns the firm and who does the firm own), firm characteristics (e.g. year of incorporation, exit, and industry), firm management (directors and executives), and firm financials (income statement and balance sheet), respectively. These four registers are maintained by the private data provider Experian. </w:t>
      </w:r>
    </w:p>
    <w:p w14:paraId="2B0DB5C4" w14:textId="77777777" w:rsidR="004034BD" w:rsidRPr="006A6F93" w:rsidRDefault="004034BD" w:rsidP="004034BD">
      <w:pPr>
        <w:ind w:firstLine="720"/>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First, we use the ownership data to identify all subsidiaries of the industrial foundations. We can track subsidiaries of subsidiaries but not beyond that, and we can only identify ownership of firms incorporated in Denmark. Some foundations have a holding company in between the foundation and the subsidiary with the business activity. If a subsidiary is a holding company and a subsidiary of this company is also a holding company, it is removed from the data. We use the industrial classification DB07 by Statistics Denmark to identify holding companies. If a subsidiary is a holding company and the business activity is a subsidiary to that company, we drop the holding company but keep its subsidiary (the operating company). In this case, we calculate the foundation’s ownership stake as the product of ownership stakes along the chain.</w:t>
      </w:r>
      <w:r w:rsidRPr="004034BD">
        <w:rPr>
          <w:rStyle w:val="FootnoteReference"/>
          <w:rFonts w:ascii="Times New Roman" w:hAnsi="Times New Roman" w:cs="Times New Roman"/>
          <w:sz w:val="24"/>
          <w:szCs w:val="24"/>
        </w:rPr>
        <w:footnoteReference w:id="7"/>
      </w:r>
      <w:r w:rsidRPr="006A6F93">
        <w:rPr>
          <w:rFonts w:ascii="Times New Roman" w:hAnsi="Times New Roman" w:cs="Times New Roman"/>
          <w:sz w:val="24"/>
          <w:szCs w:val="24"/>
          <w:lang w:val="en-US"/>
        </w:rPr>
        <w:t xml:space="preserve"> The links between foundations and subsidiaries are made irrespective of ownership stakes, i.e. as long as a foundation owns part of a company the company included as a subsidiary. This procedure is justified as the Business Authority only register foundations with controlling influence as industrial foundations. </w:t>
      </w:r>
    </w:p>
    <w:p w14:paraId="4802E25D" w14:textId="77777777" w:rsidR="004034BD" w:rsidRPr="006A6F93" w:rsidRDefault="004034BD" w:rsidP="004034BD">
      <w:pPr>
        <w:ind w:firstLine="720"/>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Second, having established the links between foundations and operating companies, we add firm characteristics to the latter, and start out by deleting all financial firms, since these firms are regulated by their own (different) law, and their income statements as well as balance sheets are incomparable to those of non-financial firms. At this stage we have ZZ firm-year observations for ZZ2 firms. For these firms, we add the year of entry (incorporation) and the year of exit, if relevant. We are only able to capture those firms that exit the data in the time period from 2000 to 2011. To be precise, we capture those firms that within this period go from having an active status in one year to an inactive status (either bankrupt, under liquidation, dissolved) the following year. This is the sample that we use for the survival analysis in section YY.</w:t>
      </w:r>
    </w:p>
    <w:p w14:paraId="31B2F289" w14:textId="77777777" w:rsidR="004034BD" w:rsidRPr="006A6F93" w:rsidRDefault="004034BD" w:rsidP="004034BD">
      <w:pPr>
        <w:ind w:firstLine="720"/>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 xml:space="preserve">We then add information on firm management, i.e. executives and directors. The data captures all entries and exits to and from the executive management board, which typically consists of the CEO only. There is more than one executive in a firm in less than 1.5% of the firm-year observations. Since we are interested in the probability of turnover, we create a dummy variable for each firm and each year that is equal to 1 if an executive left the executive management board during the year (regardless of replacement or not) and 0 otherwise. The same procedure is run on the board-of-directors-data. </w:t>
      </w:r>
    </w:p>
    <w:p w14:paraId="390F4910" w14:textId="77777777" w:rsidR="004034BD" w:rsidRPr="006A6F93" w:rsidRDefault="004034BD" w:rsidP="004034BD">
      <w:pPr>
        <w:ind w:firstLine="720"/>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 xml:space="preserve">Finally, we add financial data. The register contains both consolidated and unconsolidated data. First of all, it is important not to use both types of data in the same analysis, since subsidiaries are treated quite differently. In the unconsolidated numbers (for the parent), the subsidiary appears </w:t>
      </w:r>
      <w:r w:rsidRPr="006A6F93">
        <w:rPr>
          <w:rFonts w:ascii="Times New Roman" w:hAnsi="Times New Roman" w:cs="Times New Roman"/>
          <w:sz w:val="24"/>
          <w:szCs w:val="24"/>
          <w:lang w:val="en-US"/>
        </w:rPr>
        <w:lastRenderedPageBreak/>
        <w:t xml:space="preserve">on the balance sheet as an asset. In the consolidated numbers, the subsidiary’s balance sheet items would be added to the parent’s corresponding balance sheet items one by one (eliminating internal transactions in the process). In terms of capital structure, for example, the difference is that the unconsolidated numbers distorts the ratio between debt and assets, as assets increase while debt is unaffected. In choosing between the two types of data, we choose consolidated data.  </w:t>
      </w:r>
    </w:p>
    <w:p w14:paraId="3DB30613" w14:textId="75F27A96" w:rsidR="004034BD" w:rsidRPr="006A6F93" w:rsidRDefault="004034BD" w:rsidP="004034BD">
      <w:pPr>
        <w:ind w:firstLine="720"/>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 xml:space="preserve">Besides mapping some of the firm characteristics in foundation-owned firms, it is also interesting to compare with non-foundation-owned firms. But many foundation-owned firms are unique, not least in terms of their size, making such a comparison less than straight forward. As a first attempt, we compare to all other firms in Experian for which we have consolidated financial data. It is therefore important to bear in mind that these firms are not necessarily equal to the foundation-owned firms in all their (sometimes unobserved) characteristics. As robustness checks, we routinely repeat the analyses on the subset of firms with 100 or more employees. We also compare the foundation-owned firms to propensity score matched firms. </w:t>
      </w:r>
    </w:p>
    <w:p w14:paraId="24B7AA86" w14:textId="0C27B1CB" w:rsidR="006A6F93" w:rsidRDefault="006A6F93">
      <w:pPr>
        <w:rPr>
          <w:rFonts w:ascii="Times New Roman" w:hAnsi="Times New Roman" w:cs="Times New Roman"/>
          <w:sz w:val="24"/>
          <w:szCs w:val="24"/>
          <w:lang w:val="en-US"/>
        </w:rPr>
      </w:pPr>
    </w:p>
    <w:p w14:paraId="69A7B344" w14:textId="1E28F7D0" w:rsidR="006A6F93" w:rsidRDefault="006A6F93" w:rsidP="006A6F93">
      <w:pPr>
        <w:rPr>
          <w:rFonts w:ascii="Times New Roman" w:hAnsi="Times New Roman" w:cs="Times New Roman"/>
          <w:b/>
          <w:sz w:val="24"/>
          <w:szCs w:val="24"/>
          <w:lang w:val="en-US"/>
        </w:rPr>
      </w:pPr>
      <w:r>
        <w:rPr>
          <w:rFonts w:ascii="Times New Roman" w:hAnsi="Times New Roman" w:cs="Times New Roman"/>
          <w:sz w:val="24"/>
          <w:szCs w:val="24"/>
          <w:lang w:val="en-US"/>
        </w:rPr>
        <w:t xml:space="preserve">4. </w:t>
      </w:r>
      <w:r w:rsidRPr="006A6F93">
        <w:rPr>
          <w:rFonts w:ascii="Times New Roman" w:hAnsi="Times New Roman" w:cs="Times New Roman"/>
          <w:sz w:val="24"/>
          <w:szCs w:val="24"/>
          <w:lang w:val="en-US"/>
        </w:rPr>
        <w:t>Results</w:t>
      </w:r>
      <w:r w:rsidRPr="006A6F93">
        <w:rPr>
          <w:rFonts w:ascii="Times New Roman" w:hAnsi="Times New Roman" w:cs="Times New Roman"/>
          <w:b/>
          <w:sz w:val="24"/>
          <w:szCs w:val="24"/>
          <w:lang w:val="en-US"/>
        </w:rPr>
        <w:t xml:space="preserve"> </w:t>
      </w:r>
    </w:p>
    <w:p w14:paraId="2FA66978" w14:textId="77777777" w:rsidR="006A6F93" w:rsidRDefault="006A6F93" w:rsidP="006A6F93">
      <w:pPr>
        <w:rPr>
          <w:rFonts w:ascii="Times New Roman" w:hAnsi="Times New Roman" w:cs="Times New Roman"/>
          <w:b/>
          <w:sz w:val="24"/>
          <w:szCs w:val="24"/>
          <w:lang w:val="en-US"/>
        </w:rPr>
      </w:pPr>
    </w:p>
    <w:p w14:paraId="54F1B2BC" w14:textId="77777777" w:rsidR="00A655C8" w:rsidRDefault="00A655C8" w:rsidP="006A6F93">
      <w:pPr>
        <w:rPr>
          <w:rFonts w:ascii="Times New Roman" w:hAnsi="Times New Roman" w:cs="Times New Roman"/>
          <w:b/>
          <w:sz w:val="24"/>
          <w:szCs w:val="24"/>
          <w:lang w:val="en-US"/>
        </w:rPr>
      </w:pPr>
    </w:p>
    <w:p w14:paraId="5CFECFFB" w14:textId="61951729" w:rsidR="006A6F93" w:rsidRPr="006A6F93" w:rsidRDefault="006A6F93" w:rsidP="006A6F93">
      <w:pPr>
        <w:rPr>
          <w:rFonts w:ascii="Times New Roman" w:hAnsi="Times New Roman" w:cs="Times New Roman"/>
          <w:b/>
          <w:sz w:val="24"/>
          <w:szCs w:val="24"/>
          <w:lang w:val="en-US"/>
        </w:rPr>
      </w:pPr>
      <w:r w:rsidRPr="006A6F93">
        <w:rPr>
          <w:rFonts w:ascii="Times New Roman" w:hAnsi="Times New Roman" w:cs="Times New Roman"/>
          <w:b/>
          <w:sz w:val="24"/>
          <w:szCs w:val="24"/>
          <w:lang w:val="en-US"/>
        </w:rPr>
        <w:t>Survival</w:t>
      </w:r>
    </w:p>
    <w:p w14:paraId="367DC3B9" w14:textId="77777777" w:rsidR="006A6F93" w:rsidRPr="006A6F93" w:rsidRDefault="006A6F93" w:rsidP="006A6F93">
      <w:pPr>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 xml:space="preserve">Longevity can be one outcome of successful long-termism. In this section, we look into the survival of foundation-owned firms compared to firms with other types of owners. Our data is only subject to right-censoring, i.e. for some firms we only know at least how many years they survived. We estimate the probability of survival up to time </w:t>
      </w:r>
      <w:r w:rsidRPr="006A6F93">
        <w:rPr>
          <w:rFonts w:ascii="Times New Roman" w:hAnsi="Times New Roman" w:cs="Times New Roman"/>
          <w:i/>
          <w:sz w:val="24"/>
          <w:szCs w:val="24"/>
          <w:lang w:val="en-US"/>
        </w:rPr>
        <w:t>t</w:t>
      </w:r>
      <w:r w:rsidRPr="006A6F93">
        <w:rPr>
          <w:rFonts w:ascii="Times New Roman" w:hAnsi="Times New Roman" w:cs="Times New Roman"/>
          <w:sz w:val="24"/>
          <w:szCs w:val="24"/>
          <w:lang w:val="en-US"/>
        </w:rPr>
        <w:t xml:space="preserve">, </w:t>
      </w:r>
      <w:proofErr w:type="gramStart"/>
      <w:r w:rsidRPr="006A6F93">
        <w:rPr>
          <w:rFonts w:ascii="Times New Roman" w:hAnsi="Times New Roman" w:cs="Times New Roman"/>
          <w:i/>
          <w:sz w:val="24"/>
          <w:szCs w:val="24"/>
          <w:lang w:val="en-US"/>
        </w:rPr>
        <w:t>S(</w:t>
      </w:r>
      <w:proofErr w:type="gramEnd"/>
      <w:r w:rsidRPr="006A6F93">
        <w:rPr>
          <w:rFonts w:ascii="Times New Roman" w:hAnsi="Times New Roman" w:cs="Times New Roman"/>
          <w:i/>
          <w:sz w:val="24"/>
          <w:szCs w:val="24"/>
          <w:lang w:val="en-US"/>
        </w:rPr>
        <w:t>t)</w:t>
      </w:r>
      <w:r w:rsidRPr="006A6F93">
        <w:rPr>
          <w:rFonts w:ascii="Times New Roman" w:hAnsi="Times New Roman" w:cs="Times New Roman"/>
          <w:sz w:val="24"/>
          <w:szCs w:val="24"/>
          <w:lang w:val="en-US"/>
        </w:rPr>
        <w:t xml:space="preserve">, using the Kaplan-Meier survival function estimator. This leaves us with an estimate of the unconditional probability of survival beyond time </w:t>
      </w:r>
      <w:r w:rsidRPr="006A6F93">
        <w:rPr>
          <w:rFonts w:ascii="Times New Roman" w:hAnsi="Times New Roman" w:cs="Times New Roman"/>
          <w:i/>
          <w:sz w:val="24"/>
          <w:szCs w:val="24"/>
          <w:lang w:val="en-US"/>
        </w:rPr>
        <w:t>t</w:t>
      </w:r>
      <w:r w:rsidRPr="006A6F93">
        <w:rPr>
          <w:rFonts w:ascii="Times New Roman" w:hAnsi="Times New Roman" w:cs="Times New Roman"/>
          <w:sz w:val="24"/>
          <w:szCs w:val="24"/>
          <w:lang w:val="en-US"/>
        </w:rPr>
        <w:t xml:space="preserve">. Estimation is carried out by letting each type of ownership (foundation-owned and other) define a stratum, and subsequently we test for equality across strata. For the latter purpose, we use nonparametric Wilcoxon test statistic, which is evaluated in the approximating </w:t>
      </w:r>
      <w:r w:rsidRPr="004034BD">
        <w:rPr>
          <w:rFonts w:ascii="Times New Roman" w:hAnsi="Times New Roman" w:cs="Times New Roman"/>
          <w:sz w:val="24"/>
          <w:szCs w:val="24"/>
        </w:rPr>
        <w:t>χ</w:t>
      </w:r>
      <w:r w:rsidRPr="006A6F93">
        <w:rPr>
          <w:rFonts w:ascii="Times New Roman" w:hAnsi="Times New Roman" w:cs="Times New Roman"/>
          <w:sz w:val="24"/>
          <w:szCs w:val="24"/>
          <w:lang w:val="en-US"/>
        </w:rPr>
        <w:t>2 distributions.</w:t>
      </w:r>
    </w:p>
    <w:p w14:paraId="11CA6D7F" w14:textId="3515A6DB" w:rsidR="006A6F93" w:rsidRDefault="006A6F93" w:rsidP="006A6F93">
      <w:pPr>
        <w:rPr>
          <w:rFonts w:ascii="Times New Roman" w:hAnsi="Times New Roman" w:cs="Times New Roman"/>
          <w:sz w:val="24"/>
          <w:szCs w:val="24"/>
          <w:lang w:val="en-US"/>
        </w:rPr>
      </w:pPr>
    </w:p>
    <w:p w14:paraId="6B788C74" w14:textId="7EADA960" w:rsidR="004034BD" w:rsidRPr="006A6F93" w:rsidRDefault="004034BD" w:rsidP="004034BD">
      <w:pPr>
        <w:jc w:val="both"/>
        <w:rPr>
          <w:rFonts w:ascii="Times New Roman" w:hAnsi="Times New Roman" w:cs="Times New Roman"/>
          <w:sz w:val="24"/>
          <w:szCs w:val="24"/>
          <w:lang w:val="en-US"/>
        </w:rPr>
      </w:pPr>
    </w:p>
    <w:p w14:paraId="2DA57EEF" w14:textId="77777777" w:rsidR="00A655C8" w:rsidRDefault="00A655C8" w:rsidP="004034BD">
      <w:pPr>
        <w:jc w:val="both"/>
        <w:rPr>
          <w:rFonts w:ascii="Times New Roman" w:hAnsi="Times New Roman" w:cs="Times New Roman"/>
          <w:b/>
          <w:sz w:val="24"/>
          <w:szCs w:val="24"/>
          <w:lang w:val="en-US"/>
        </w:rPr>
      </w:pPr>
    </w:p>
    <w:p w14:paraId="3A766D68" w14:textId="77777777" w:rsidR="00A655C8" w:rsidRDefault="00A655C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2718DD2" w14:textId="41036640" w:rsidR="004034BD" w:rsidRPr="006A6F93" w:rsidRDefault="004034BD" w:rsidP="004034BD">
      <w:pPr>
        <w:jc w:val="both"/>
        <w:rPr>
          <w:rFonts w:ascii="Times New Roman" w:hAnsi="Times New Roman" w:cs="Times New Roman"/>
          <w:b/>
          <w:sz w:val="24"/>
          <w:szCs w:val="24"/>
          <w:lang w:val="en-US"/>
        </w:rPr>
      </w:pPr>
      <w:proofErr w:type="gramStart"/>
      <w:r w:rsidRPr="006A6F93">
        <w:rPr>
          <w:rFonts w:ascii="Times New Roman" w:hAnsi="Times New Roman" w:cs="Times New Roman"/>
          <w:b/>
          <w:sz w:val="24"/>
          <w:szCs w:val="24"/>
          <w:lang w:val="en-US"/>
        </w:rPr>
        <w:lastRenderedPageBreak/>
        <w:t>Figure 1.</w:t>
      </w:r>
      <w:proofErr w:type="gramEnd"/>
      <w:r w:rsidRPr="006A6F93">
        <w:rPr>
          <w:rFonts w:ascii="Times New Roman" w:hAnsi="Times New Roman" w:cs="Times New Roman"/>
          <w:b/>
          <w:sz w:val="24"/>
          <w:szCs w:val="24"/>
          <w:lang w:val="en-US"/>
        </w:rPr>
        <w:t xml:space="preserve"> Kaplan-Meier survival curves</w:t>
      </w:r>
    </w:p>
    <w:p w14:paraId="295A6C8F" w14:textId="77777777" w:rsidR="004034BD" w:rsidRPr="004034BD" w:rsidRDefault="004034BD" w:rsidP="004034BD">
      <w:pPr>
        <w:jc w:val="center"/>
        <w:rPr>
          <w:rFonts w:ascii="Times New Roman" w:hAnsi="Times New Roman" w:cs="Times New Roman"/>
          <w:sz w:val="24"/>
          <w:szCs w:val="24"/>
        </w:rPr>
      </w:pPr>
      <w:r w:rsidRPr="004034BD">
        <w:rPr>
          <w:rFonts w:ascii="Times New Roman" w:hAnsi="Times New Roman" w:cs="Times New Roman"/>
          <w:noProof/>
          <w:sz w:val="24"/>
          <w:szCs w:val="24"/>
          <w:lang w:val="en-US"/>
        </w:rPr>
        <w:drawing>
          <wp:inline distT="0" distB="0" distL="0" distR="0" wp14:anchorId="6B9DFA97" wp14:editId="26A36652">
            <wp:extent cx="5715000" cy="34290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03776E" w14:textId="77777777" w:rsidR="004034BD" w:rsidRPr="004034BD" w:rsidRDefault="004034BD" w:rsidP="004034BD">
      <w:pPr>
        <w:jc w:val="both"/>
        <w:rPr>
          <w:rFonts w:ascii="Times New Roman" w:hAnsi="Times New Roman" w:cs="Times New Roman"/>
          <w:sz w:val="24"/>
          <w:szCs w:val="24"/>
        </w:rPr>
      </w:pPr>
    </w:p>
    <w:p w14:paraId="59096364" w14:textId="77777777" w:rsidR="004034BD" w:rsidRPr="006A6F93" w:rsidRDefault="004034BD" w:rsidP="004034BD">
      <w:pPr>
        <w:jc w:val="both"/>
        <w:rPr>
          <w:rFonts w:ascii="Times New Roman" w:hAnsi="Times New Roman" w:cs="Times New Roman"/>
          <w:sz w:val="24"/>
          <w:szCs w:val="24"/>
          <w:lang w:val="en-US"/>
        </w:rPr>
      </w:pPr>
      <w:r w:rsidRPr="004034BD">
        <w:rPr>
          <w:rFonts w:ascii="Times New Roman" w:hAnsi="Times New Roman" w:cs="Times New Roman"/>
          <w:sz w:val="24"/>
          <w:szCs w:val="24"/>
        </w:rPr>
        <w:tab/>
      </w:r>
      <w:r w:rsidRPr="006A6F93">
        <w:rPr>
          <w:rFonts w:ascii="Times New Roman" w:hAnsi="Times New Roman" w:cs="Times New Roman"/>
          <w:sz w:val="24"/>
          <w:szCs w:val="24"/>
          <w:lang w:val="en-US"/>
        </w:rPr>
        <w:t>In Figure 1, we plot the Kaplan-Meier survival curves for both strata, which depict the estimated survival probability as a function of firm age. The survival probability is always higher for foundation-owned firms, and the result of the Wilcoxon test is that the two curves are significantly different (</w:t>
      </w:r>
      <w:r w:rsidRPr="004034BD">
        <w:rPr>
          <w:rFonts w:ascii="Times New Roman" w:hAnsi="Times New Roman" w:cs="Times New Roman"/>
          <w:sz w:val="24"/>
          <w:szCs w:val="24"/>
        </w:rPr>
        <w:t>χ</w:t>
      </w:r>
      <w:r w:rsidRPr="006A6F93">
        <w:rPr>
          <w:rFonts w:ascii="Times New Roman" w:hAnsi="Times New Roman" w:cs="Times New Roman"/>
          <w:sz w:val="24"/>
          <w:szCs w:val="24"/>
          <w:lang w:val="en-US"/>
        </w:rPr>
        <w:t xml:space="preserve">2=16.86). The probability of surviving beyond age 40, for example, is 60% for foundation-owned firms and 10% for other firms. Also, the curvatures suggest that the hazard rates (the probability of exit at time t conditional on survival up to that time) are different. For non-foundation-owned firms, the survival probability drops most steeply in the beginning, suggesting that the hazard rate is highest during the first 40 years. For foundation-owned firms, the drop is less aggressive, and the hazard rate is more constant. This also shows from the quartile estimates of survival times reported in table 1. </w:t>
      </w:r>
    </w:p>
    <w:p w14:paraId="5836E884" w14:textId="77777777" w:rsidR="004034BD" w:rsidRPr="006A6F93" w:rsidRDefault="004034BD" w:rsidP="004034BD">
      <w:pPr>
        <w:rPr>
          <w:rFonts w:ascii="Times New Roman" w:hAnsi="Times New Roman" w:cs="Times New Roman"/>
          <w:b/>
          <w:sz w:val="24"/>
          <w:szCs w:val="24"/>
          <w:lang w:val="en-US"/>
        </w:rPr>
      </w:pPr>
    </w:p>
    <w:p w14:paraId="4D82ED17" w14:textId="77777777" w:rsidR="004034BD" w:rsidRPr="006A6F93" w:rsidRDefault="004034BD" w:rsidP="004034BD">
      <w:pPr>
        <w:rPr>
          <w:rFonts w:ascii="Times New Roman" w:hAnsi="Times New Roman" w:cs="Times New Roman"/>
          <w:b/>
          <w:sz w:val="24"/>
          <w:szCs w:val="24"/>
          <w:lang w:val="en-US"/>
        </w:rPr>
      </w:pPr>
      <w:proofErr w:type="gramStart"/>
      <w:r w:rsidRPr="006A6F93">
        <w:rPr>
          <w:rFonts w:ascii="Times New Roman" w:hAnsi="Times New Roman" w:cs="Times New Roman"/>
          <w:b/>
          <w:sz w:val="24"/>
          <w:szCs w:val="24"/>
          <w:lang w:val="en-US"/>
        </w:rPr>
        <w:t>Table 1.</w:t>
      </w:r>
      <w:proofErr w:type="gramEnd"/>
      <w:r w:rsidRPr="006A6F93">
        <w:rPr>
          <w:rFonts w:ascii="Times New Roman" w:hAnsi="Times New Roman" w:cs="Times New Roman"/>
          <w:b/>
          <w:sz w:val="24"/>
          <w:szCs w:val="24"/>
          <w:lang w:val="en-US"/>
        </w:rPr>
        <w:t xml:space="preserve"> Quartile estimates of survival times</w:t>
      </w:r>
    </w:p>
    <w:tbl>
      <w:tblPr>
        <w:tblStyle w:val="TableGrid"/>
        <w:tblW w:w="0" w:type="auto"/>
        <w:tblLook w:val="04A0" w:firstRow="1" w:lastRow="0" w:firstColumn="1" w:lastColumn="0" w:noHBand="0" w:noVBand="1"/>
      </w:tblPr>
      <w:tblGrid>
        <w:gridCol w:w="2235"/>
        <w:gridCol w:w="1835"/>
        <w:gridCol w:w="1835"/>
        <w:gridCol w:w="1835"/>
        <w:gridCol w:w="1836"/>
      </w:tblGrid>
      <w:tr w:rsidR="004034BD" w:rsidRPr="004034BD" w14:paraId="7D98D3DD" w14:textId="77777777" w:rsidTr="00E20771">
        <w:tc>
          <w:tcPr>
            <w:tcW w:w="2235" w:type="dxa"/>
          </w:tcPr>
          <w:p w14:paraId="32CE5CBB" w14:textId="77777777" w:rsidR="004034BD" w:rsidRPr="004034BD" w:rsidRDefault="004034BD" w:rsidP="004034BD">
            <w:pPr>
              <w:spacing w:line="276" w:lineRule="auto"/>
              <w:rPr>
                <w:rFonts w:cs="Times New Roman"/>
                <w:b/>
                <w:szCs w:val="24"/>
              </w:rPr>
            </w:pPr>
          </w:p>
        </w:tc>
        <w:tc>
          <w:tcPr>
            <w:tcW w:w="1835" w:type="dxa"/>
          </w:tcPr>
          <w:p w14:paraId="31C82F73" w14:textId="77777777" w:rsidR="004034BD" w:rsidRPr="004034BD" w:rsidRDefault="004034BD" w:rsidP="004034BD">
            <w:pPr>
              <w:spacing w:line="276" w:lineRule="auto"/>
              <w:jc w:val="center"/>
              <w:rPr>
                <w:rFonts w:cs="Times New Roman"/>
                <w:b/>
                <w:szCs w:val="24"/>
              </w:rPr>
            </w:pPr>
            <w:r w:rsidRPr="004034BD">
              <w:rPr>
                <w:rFonts w:cs="Times New Roman"/>
                <w:b/>
                <w:szCs w:val="24"/>
              </w:rPr>
              <w:t>Mean</w:t>
            </w:r>
          </w:p>
        </w:tc>
        <w:tc>
          <w:tcPr>
            <w:tcW w:w="1835" w:type="dxa"/>
          </w:tcPr>
          <w:p w14:paraId="67D12D7C" w14:textId="77777777" w:rsidR="004034BD" w:rsidRPr="004034BD" w:rsidRDefault="004034BD" w:rsidP="004034BD">
            <w:pPr>
              <w:spacing w:line="276" w:lineRule="auto"/>
              <w:jc w:val="center"/>
              <w:rPr>
                <w:rFonts w:cs="Times New Roman"/>
                <w:b/>
                <w:szCs w:val="24"/>
              </w:rPr>
            </w:pPr>
            <w:r w:rsidRPr="004034BD">
              <w:rPr>
                <w:rFonts w:cs="Times New Roman"/>
                <w:b/>
                <w:szCs w:val="24"/>
              </w:rPr>
              <w:t>Q25</w:t>
            </w:r>
          </w:p>
        </w:tc>
        <w:tc>
          <w:tcPr>
            <w:tcW w:w="1835" w:type="dxa"/>
          </w:tcPr>
          <w:p w14:paraId="5ECADEAA" w14:textId="77777777" w:rsidR="004034BD" w:rsidRPr="004034BD" w:rsidRDefault="004034BD" w:rsidP="004034BD">
            <w:pPr>
              <w:spacing w:line="276" w:lineRule="auto"/>
              <w:jc w:val="center"/>
              <w:rPr>
                <w:rFonts w:cs="Times New Roman"/>
                <w:b/>
                <w:szCs w:val="24"/>
              </w:rPr>
            </w:pPr>
            <w:r w:rsidRPr="004034BD">
              <w:rPr>
                <w:rFonts w:cs="Times New Roman"/>
                <w:b/>
                <w:szCs w:val="24"/>
              </w:rPr>
              <w:t>Q50</w:t>
            </w:r>
          </w:p>
        </w:tc>
        <w:tc>
          <w:tcPr>
            <w:tcW w:w="1836" w:type="dxa"/>
          </w:tcPr>
          <w:p w14:paraId="27CCF9D3" w14:textId="77777777" w:rsidR="004034BD" w:rsidRPr="004034BD" w:rsidRDefault="004034BD" w:rsidP="004034BD">
            <w:pPr>
              <w:spacing w:line="276" w:lineRule="auto"/>
              <w:jc w:val="center"/>
              <w:rPr>
                <w:rFonts w:cs="Times New Roman"/>
                <w:b/>
                <w:szCs w:val="24"/>
              </w:rPr>
            </w:pPr>
            <w:r w:rsidRPr="004034BD">
              <w:rPr>
                <w:rFonts w:cs="Times New Roman"/>
                <w:b/>
                <w:szCs w:val="24"/>
              </w:rPr>
              <w:t>Q75</w:t>
            </w:r>
          </w:p>
        </w:tc>
      </w:tr>
      <w:tr w:rsidR="004034BD" w:rsidRPr="004034BD" w14:paraId="10C24BEF" w14:textId="77777777" w:rsidTr="00E20771">
        <w:tc>
          <w:tcPr>
            <w:tcW w:w="2235" w:type="dxa"/>
          </w:tcPr>
          <w:p w14:paraId="6B04B8AC" w14:textId="77777777" w:rsidR="004034BD" w:rsidRPr="004034BD" w:rsidRDefault="004034BD" w:rsidP="004034BD">
            <w:pPr>
              <w:spacing w:line="276" w:lineRule="auto"/>
              <w:rPr>
                <w:rFonts w:cs="Times New Roman"/>
                <w:b/>
                <w:szCs w:val="24"/>
              </w:rPr>
            </w:pPr>
            <w:r w:rsidRPr="004034BD">
              <w:rPr>
                <w:rFonts w:cs="Times New Roman"/>
                <w:b/>
                <w:szCs w:val="24"/>
              </w:rPr>
              <w:t>Foundation-owned</w:t>
            </w:r>
          </w:p>
        </w:tc>
        <w:tc>
          <w:tcPr>
            <w:tcW w:w="1835" w:type="dxa"/>
          </w:tcPr>
          <w:p w14:paraId="2F2D9433" w14:textId="77777777" w:rsidR="004034BD" w:rsidRPr="004034BD" w:rsidRDefault="004034BD" w:rsidP="004034BD">
            <w:pPr>
              <w:spacing w:line="276" w:lineRule="auto"/>
              <w:jc w:val="right"/>
              <w:rPr>
                <w:rFonts w:cs="Times New Roman"/>
                <w:szCs w:val="24"/>
              </w:rPr>
            </w:pPr>
            <w:r w:rsidRPr="004034BD">
              <w:rPr>
                <w:rFonts w:cs="Times New Roman"/>
                <w:szCs w:val="24"/>
              </w:rPr>
              <w:t>69.61</w:t>
            </w:r>
          </w:p>
        </w:tc>
        <w:tc>
          <w:tcPr>
            <w:tcW w:w="1835" w:type="dxa"/>
          </w:tcPr>
          <w:p w14:paraId="029B29CB" w14:textId="77777777" w:rsidR="004034BD" w:rsidRPr="004034BD" w:rsidRDefault="004034BD" w:rsidP="004034BD">
            <w:pPr>
              <w:spacing w:line="276" w:lineRule="auto"/>
              <w:jc w:val="right"/>
              <w:rPr>
                <w:rFonts w:cs="Times New Roman"/>
                <w:szCs w:val="24"/>
              </w:rPr>
            </w:pPr>
            <w:r w:rsidRPr="004034BD">
              <w:rPr>
                <w:rFonts w:cs="Times New Roman"/>
                <w:szCs w:val="24"/>
              </w:rPr>
              <w:t>34.00</w:t>
            </w:r>
          </w:p>
        </w:tc>
        <w:tc>
          <w:tcPr>
            <w:tcW w:w="1835" w:type="dxa"/>
          </w:tcPr>
          <w:p w14:paraId="159F0C3E" w14:textId="77777777" w:rsidR="004034BD" w:rsidRPr="004034BD" w:rsidRDefault="004034BD" w:rsidP="004034BD">
            <w:pPr>
              <w:spacing w:line="276" w:lineRule="auto"/>
              <w:jc w:val="right"/>
              <w:rPr>
                <w:rFonts w:cs="Times New Roman"/>
                <w:szCs w:val="24"/>
              </w:rPr>
            </w:pPr>
            <w:r w:rsidRPr="004034BD">
              <w:rPr>
                <w:rFonts w:cs="Times New Roman"/>
                <w:szCs w:val="24"/>
              </w:rPr>
              <w:t>66.00</w:t>
            </w:r>
          </w:p>
        </w:tc>
        <w:tc>
          <w:tcPr>
            <w:tcW w:w="1836" w:type="dxa"/>
          </w:tcPr>
          <w:p w14:paraId="11A5628C" w14:textId="77777777" w:rsidR="004034BD" w:rsidRPr="004034BD" w:rsidRDefault="004034BD" w:rsidP="004034BD">
            <w:pPr>
              <w:spacing w:line="276" w:lineRule="auto"/>
              <w:jc w:val="right"/>
              <w:rPr>
                <w:rFonts w:cs="Times New Roman"/>
                <w:szCs w:val="24"/>
              </w:rPr>
            </w:pPr>
            <w:r w:rsidRPr="004034BD">
              <w:rPr>
                <w:rFonts w:cs="Times New Roman"/>
                <w:szCs w:val="24"/>
              </w:rPr>
              <w:t>95.00</w:t>
            </w:r>
          </w:p>
        </w:tc>
      </w:tr>
      <w:tr w:rsidR="004034BD" w:rsidRPr="004034BD" w14:paraId="5A240035" w14:textId="77777777" w:rsidTr="00E20771">
        <w:tc>
          <w:tcPr>
            <w:tcW w:w="2235" w:type="dxa"/>
          </w:tcPr>
          <w:p w14:paraId="08E7D6B6" w14:textId="77777777" w:rsidR="004034BD" w:rsidRPr="004034BD" w:rsidRDefault="004034BD" w:rsidP="004034BD">
            <w:pPr>
              <w:spacing w:line="276" w:lineRule="auto"/>
              <w:rPr>
                <w:rFonts w:cs="Times New Roman"/>
                <w:b/>
                <w:szCs w:val="24"/>
              </w:rPr>
            </w:pPr>
            <w:r w:rsidRPr="004034BD">
              <w:rPr>
                <w:rFonts w:cs="Times New Roman"/>
                <w:b/>
                <w:szCs w:val="24"/>
              </w:rPr>
              <w:t>Other owners</w:t>
            </w:r>
          </w:p>
        </w:tc>
        <w:tc>
          <w:tcPr>
            <w:tcW w:w="1835" w:type="dxa"/>
          </w:tcPr>
          <w:p w14:paraId="4124B126" w14:textId="77777777" w:rsidR="004034BD" w:rsidRPr="004034BD" w:rsidRDefault="004034BD" w:rsidP="004034BD">
            <w:pPr>
              <w:spacing w:line="276" w:lineRule="auto"/>
              <w:jc w:val="right"/>
              <w:rPr>
                <w:rFonts w:cs="Times New Roman"/>
                <w:szCs w:val="24"/>
              </w:rPr>
            </w:pPr>
            <w:r w:rsidRPr="004034BD">
              <w:rPr>
                <w:rFonts w:cs="Times New Roman"/>
                <w:szCs w:val="24"/>
              </w:rPr>
              <w:t>22.52</w:t>
            </w:r>
          </w:p>
        </w:tc>
        <w:tc>
          <w:tcPr>
            <w:tcW w:w="1835" w:type="dxa"/>
          </w:tcPr>
          <w:p w14:paraId="37ACDF03" w14:textId="77777777" w:rsidR="004034BD" w:rsidRPr="004034BD" w:rsidRDefault="004034BD" w:rsidP="004034BD">
            <w:pPr>
              <w:spacing w:line="276" w:lineRule="auto"/>
              <w:jc w:val="right"/>
              <w:rPr>
                <w:rFonts w:cs="Times New Roman"/>
                <w:szCs w:val="24"/>
              </w:rPr>
            </w:pPr>
            <w:r w:rsidRPr="004034BD">
              <w:rPr>
                <w:rFonts w:cs="Times New Roman"/>
                <w:szCs w:val="24"/>
              </w:rPr>
              <w:t>7.00</w:t>
            </w:r>
          </w:p>
        </w:tc>
        <w:tc>
          <w:tcPr>
            <w:tcW w:w="1835" w:type="dxa"/>
          </w:tcPr>
          <w:p w14:paraId="7DF4589E" w14:textId="77777777" w:rsidR="004034BD" w:rsidRPr="004034BD" w:rsidRDefault="004034BD" w:rsidP="004034BD">
            <w:pPr>
              <w:spacing w:line="276" w:lineRule="auto"/>
              <w:jc w:val="right"/>
              <w:rPr>
                <w:rFonts w:cs="Times New Roman"/>
                <w:szCs w:val="24"/>
              </w:rPr>
            </w:pPr>
            <w:r w:rsidRPr="004034BD">
              <w:rPr>
                <w:rFonts w:cs="Times New Roman"/>
                <w:szCs w:val="24"/>
              </w:rPr>
              <w:t>16.00</w:t>
            </w:r>
          </w:p>
        </w:tc>
        <w:tc>
          <w:tcPr>
            <w:tcW w:w="1836" w:type="dxa"/>
          </w:tcPr>
          <w:p w14:paraId="21F8A022" w14:textId="77777777" w:rsidR="004034BD" w:rsidRPr="004034BD" w:rsidRDefault="004034BD" w:rsidP="004034BD">
            <w:pPr>
              <w:spacing w:line="276" w:lineRule="auto"/>
              <w:jc w:val="right"/>
              <w:rPr>
                <w:rFonts w:cs="Times New Roman"/>
                <w:szCs w:val="24"/>
              </w:rPr>
            </w:pPr>
            <w:r w:rsidRPr="004034BD">
              <w:rPr>
                <w:rFonts w:cs="Times New Roman"/>
                <w:szCs w:val="24"/>
              </w:rPr>
              <w:t>32.00</w:t>
            </w:r>
          </w:p>
        </w:tc>
      </w:tr>
    </w:tbl>
    <w:p w14:paraId="3228D283" w14:textId="77777777" w:rsidR="004034BD" w:rsidRPr="004034BD" w:rsidRDefault="004034BD" w:rsidP="004034BD">
      <w:pPr>
        <w:jc w:val="both"/>
        <w:rPr>
          <w:rFonts w:ascii="Times New Roman" w:hAnsi="Times New Roman" w:cs="Times New Roman"/>
          <w:b/>
          <w:sz w:val="24"/>
          <w:szCs w:val="24"/>
        </w:rPr>
      </w:pPr>
    </w:p>
    <w:p w14:paraId="6320BC96" w14:textId="77777777" w:rsidR="004034BD" w:rsidRPr="006A6F93" w:rsidRDefault="004034BD" w:rsidP="004034BD">
      <w:pPr>
        <w:ind w:firstLine="720"/>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 xml:space="preserve">For foundation-owned firms, the interval during which the first 25% is expected to exit is approximately the same as the interval during which the second 25% is expected to fail, which </w:t>
      </w:r>
      <w:r w:rsidRPr="006A6F93">
        <w:rPr>
          <w:rFonts w:ascii="Times New Roman" w:hAnsi="Times New Roman" w:cs="Times New Roman"/>
          <w:sz w:val="24"/>
          <w:szCs w:val="24"/>
          <w:lang w:val="en-US"/>
        </w:rPr>
        <w:lastRenderedPageBreak/>
        <w:t xml:space="preserve">again is approximately the same as the interval during which the third 25% is expected to fail. Contrary to this, the intervals between the first and second and the second and third quartile are much more different for other firms: it takes 7 years for the first 25% of the firms to fail, another 9 years for the next 25%, and then another 16 years for the third 25%. </w:t>
      </w:r>
    </w:p>
    <w:p w14:paraId="658A6EFB" w14:textId="63D68EAD" w:rsidR="00AE6756" w:rsidRDefault="001B566E" w:rsidP="003835D8">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difference may be partly attributable to life history of industrial foundations. </w:t>
      </w:r>
      <w:r w:rsidR="001503CD">
        <w:rPr>
          <w:rFonts w:ascii="Times New Roman" w:hAnsi="Times New Roman" w:cs="Times New Roman"/>
          <w:sz w:val="24"/>
          <w:szCs w:val="24"/>
          <w:lang w:val="en-US"/>
        </w:rPr>
        <w:t xml:space="preserve">A standard story is that </w:t>
      </w:r>
      <w:r>
        <w:rPr>
          <w:rFonts w:ascii="Times New Roman" w:hAnsi="Times New Roman" w:cs="Times New Roman"/>
          <w:sz w:val="24"/>
          <w:szCs w:val="24"/>
          <w:lang w:val="en-US"/>
        </w:rPr>
        <w:t>the foundation is established when a founder donates stock in an existing company</w:t>
      </w:r>
      <w:r w:rsidR="00217A03">
        <w:rPr>
          <w:rFonts w:ascii="Times New Roman" w:hAnsi="Times New Roman" w:cs="Times New Roman"/>
          <w:sz w:val="24"/>
          <w:szCs w:val="24"/>
          <w:lang w:val="en-US"/>
        </w:rPr>
        <w:t xml:space="preserve"> to it. In other words, business companies do not start by foundation ownership. The foundation structure may for example arise as a solution to succession </w:t>
      </w:r>
      <w:r w:rsidR="001503CD">
        <w:rPr>
          <w:rFonts w:ascii="Times New Roman" w:hAnsi="Times New Roman" w:cs="Times New Roman"/>
          <w:sz w:val="24"/>
          <w:szCs w:val="24"/>
          <w:lang w:val="en-US"/>
        </w:rPr>
        <w:t xml:space="preserve">problems </w:t>
      </w:r>
      <w:r w:rsidR="00217A03">
        <w:rPr>
          <w:rFonts w:ascii="Times New Roman" w:hAnsi="Times New Roman" w:cs="Times New Roman"/>
          <w:sz w:val="24"/>
          <w:szCs w:val="24"/>
          <w:lang w:val="en-US"/>
        </w:rPr>
        <w:t>when the both the founder and the company have reached a mature age</w:t>
      </w:r>
      <w:r w:rsidR="001503CD">
        <w:rPr>
          <w:rFonts w:ascii="Times New Roman" w:hAnsi="Times New Roman" w:cs="Times New Roman"/>
          <w:sz w:val="24"/>
          <w:szCs w:val="24"/>
          <w:lang w:val="en-US"/>
        </w:rPr>
        <w:t xml:space="preserve">. In some cases the foundation is established by bequest in founder’s will. For a typical entrepreneur, this could be some 30 years </w:t>
      </w:r>
      <w:r w:rsidR="00AE6756">
        <w:rPr>
          <w:rFonts w:ascii="Times New Roman" w:hAnsi="Times New Roman" w:cs="Times New Roman"/>
          <w:sz w:val="24"/>
          <w:szCs w:val="24"/>
          <w:lang w:val="en-US"/>
        </w:rPr>
        <w:t xml:space="preserve">(+/-) </w:t>
      </w:r>
      <w:r w:rsidR="001503CD">
        <w:rPr>
          <w:rFonts w:ascii="Times New Roman" w:hAnsi="Times New Roman" w:cs="Times New Roman"/>
          <w:sz w:val="24"/>
          <w:szCs w:val="24"/>
          <w:lang w:val="en-US"/>
        </w:rPr>
        <w:t xml:space="preserve">after the company was founded. The survival curve for foundation-owned companies therefore omits those (many) unsuccessful companies that were closed down or acquired before they could become foundation-owned. </w:t>
      </w:r>
    </w:p>
    <w:p w14:paraId="79EFADE4" w14:textId="22538B58" w:rsidR="004034BD" w:rsidRDefault="00AE6756" w:rsidP="003835D8">
      <w:pPr>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Casual examination of the survival curve above gives the impression that </w:t>
      </w:r>
      <w:r w:rsidR="00DC08A2">
        <w:rPr>
          <w:rFonts w:ascii="Times New Roman" w:hAnsi="Times New Roman" w:cs="Times New Roman"/>
          <w:sz w:val="24"/>
          <w:szCs w:val="24"/>
          <w:lang w:val="en-US"/>
        </w:rPr>
        <w:t xml:space="preserve">foundation-owned companies survive better even after the first 20 years. For example, 25% of the foundation-owned firms exit in the 30 year interval from company age 30 to company age 60, whereas 20% of the non-foundation owned firms do. </w:t>
      </w:r>
      <w:r w:rsidR="00695B44">
        <w:rPr>
          <w:rFonts w:ascii="Times New Roman" w:hAnsi="Times New Roman" w:cs="Times New Roman"/>
          <w:sz w:val="24"/>
          <w:szCs w:val="24"/>
          <w:lang w:val="en-US"/>
        </w:rPr>
        <w:t xml:space="preserve">In relative terms this translates into much higher survival rates even in this period. </w:t>
      </w:r>
      <w:r w:rsidR="00DC08A2">
        <w:rPr>
          <w:rFonts w:ascii="Times New Roman" w:hAnsi="Times New Roman" w:cs="Times New Roman"/>
          <w:sz w:val="24"/>
          <w:szCs w:val="24"/>
          <w:lang w:val="en-US"/>
        </w:rPr>
        <w:t>Among the non-foundation-owned firms 80% of the remaining population at 30 is gone at 60</w:t>
      </w:r>
      <w:r w:rsidR="00695B44">
        <w:rPr>
          <w:rFonts w:ascii="Times New Roman" w:hAnsi="Times New Roman" w:cs="Times New Roman"/>
          <w:sz w:val="24"/>
          <w:szCs w:val="24"/>
          <w:lang w:val="en-US"/>
        </w:rPr>
        <w:t>, while only 35% of the foundation-owned population at 30 is gone at 60. However, there is no guarantee that the foundation is established at company age 30, it could be later (at company age 40 or even in the second generation of family ownership, for example if there are no heirs in the third generation. This calls for further analysis of survival patterns.</w:t>
      </w:r>
    </w:p>
    <w:p w14:paraId="7AEEF724" w14:textId="77777777" w:rsidR="004034BD" w:rsidRDefault="004034BD" w:rsidP="004034BD">
      <w:pPr>
        <w:jc w:val="both"/>
        <w:rPr>
          <w:rFonts w:ascii="Times New Roman" w:hAnsi="Times New Roman" w:cs="Times New Roman"/>
          <w:b/>
          <w:sz w:val="24"/>
          <w:szCs w:val="24"/>
          <w:lang w:val="en-US"/>
        </w:rPr>
      </w:pPr>
    </w:p>
    <w:p w14:paraId="41EDFA67" w14:textId="49187E39" w:rsidR="006A6F93" w:rsidRDefault="006A6F93" w:rsidP="004034BD">
      <w:pPr>
        <w:jc w:val="both"/>
        <w:rPr>
          <w:rFonts w:ascii="Times New Roman" w:hAnsi="Times New Roman" w:cs="Times New Roman"/>
          <w:b/>
          <w:sz w:val="24"/>
          <w:szCs w:val="24"/>
          <w:lang w:val="en-US"/>
        </w:rPr>
      </w:pPr>
      <w:r>
        <w:rPr>
          <w:rFonts w:ascii="Times New Roman" w:hAnsi="Times New Roman" w:cs="Times New Roman"/>
          <w:b/>
          <w:sz w:val="24"/>
          <w:szCs w:val="24"/>
          <w:lang w:val="en-US"/>
        </w:rPr>
        <w:t>Stability of ownership</w:t>
      </w:r>
    </w:p>
    <w:p w14:paraId="571C5407" w14:textId="060EE12C" w:rsidR="003835D8" w:rsidRDefault="00A655C8" w:rsidP="004034BD">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noted by Marc Roe, </w:t>
      </w:r>
      <w:r w:rsidRPr="00A655C8">
        <w:rPr>
          <w:rFonts w:ascii="Times New Roman" w:hAnsi="Times New Roman" w:cs="Times New Roman"/>
          <w:i/>
          <w:sz w:val="24"/>
          <w:szCs w:val="24"/>
          <w:lang w:val="en-US"/>
        </w:rPr>
        <w:t>“the core short-</w:t>
      </w:r>
      <w:proofErr w:type="spellStart"/>
      <w:r w:rsidRPr="00A655C8">
        <w:rPr>
          <w:rFonts w:ascii="Times New Roman" w:hAnsi="Times New Roman" w:cs="Times New Roman"/>
          <w:i/>
          <w:sz w:val="24"/>
          <w:szCs w:val="24"/>
          <w:lang w:val="en-US"/>
        </w:rPr>
        <w:t>termist</w:t>
      </w:r>
      <w:proofErr w:type="spellEnd"/>
      <w:r w:rsidRPr="00A655C8">
        <w:rPr>
          <w:rFonts w:ascii="Times New Roman" w:hAnsi="Times New Roman" w:cs="Times New Roman"/>
          <w:i/>
          <w:sz w:val="24"/>
          <w:szCs w:val="24"/>
          <w:lang w:val="en-US"/>
        </w:rPr>
        <w:t xml:space="preserve"> concept is that because securities traders hold their stock for such a short duration, they look for strong corporate results during the period they hold the corporation’s stock, so that they can sell proﬁtably”</w:t>
      </w:r>
      <w:r>
        <w:rPr>
          <w:rFonts w:ascii="Times New Roman" w:hAnsi="Times New Roman" w:cs="Times New Roman"/>
          <w:sz w:val="24"/>
          <w:szCs w:val="24"/>
          <w:lang w:val="en-US"/>
        </w:rPr>
        <w:t>. Likewise, following Colin Mayer, o</w:t>
      </w:r>
      <w:r w:rsidR="003835D8" w:rsidRPr="003835D8">
        <w:rPr>
          <w:rFonts w:ascii="Times New Roman" w:hAnsi="Times New Roman" w:cs="Times New Roman"/>
          <w:sz w:val="24"/>
          <w:szCs w:val="24"/>
          <w:lang w:val="en-US"/>
        </w:rPr>
        <w:t xml:space="preserve">ne way to think about committed ownership is to consider </w:t>
      </w:r>
      <w:r>
        <w:rPr>
          <w:rFonts w:ascii="Times New Roman" w:hAnsi="Times New Roman" w:cs="Times New Roman"/>
          <w:sz w:val="24"/>
          <w:szCs w:val="24"/>
          <w:lang w:val="en-US"/>
        </w:rPr>
        <w:t>the stability of equity</w:t>
      </w:r>
      <w:r w:rsidR="003835D8" w:rsidRPr="003835D8">
        <w:rPr>
          <w:rFonts w:ascii="Times New Roman" w:hAnsi="Times New Roman" w:cs="Times New Roman"/>
          <w:sz w:val="24"/>
          <w:szCs w:val="24"/>
          <w:lang w:val="en-US"/>
        </w:rPr>
        <w:t xml:space="preserve"> capital. In this way, a defining characteristic of committed capital is that it is not for sale. One implication of this would be that foundations-owned firms are less active in the market for corporate control, at least as target companies. More generally, commitment in this way would imply that the ownership is more stable, and especially that the odds of a reduction in the ownership stake is smaller.</w:t>
      </w:r>
    </w:p>
    <w:p w14:paraId="211E7D11" w14:textId="77777777" w:rsidR="004034BD" w:rsidRPr="006A6F93" w:rsidRDefault="004034BD" w:rsidP="004034BD">
      <w:pPr>
        <w:ind w:firstLine="720"/>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 xml:space="preserve">Our first measure of stability of ownership is the average within-firm standard deviation of ownership over time. We use the ownership stake of the foundation for foundation-owned firms, and the ownership stake of the largest shareholder for other firms. We find that foundations’ ownership stakes are more stable than other large owners in all samples, although the difference is not significantly different from zero for the propensity score matched firms. One alternative measure suggested in the literature is ownership persistency, defined as the mean ownership </w:t>
      </w:r>
      <w:r w:rsidRPr="006A6F93">
        <w:rPr>
          <w:rFonts w:ascii="Times New Roman" w:hAnsi="Times New Roman" w:cs="Times New Roman"/>
          <w:sz w:val="24"/>
          <w:szCs w:val="24"/>
          <w:lang w:val="en-US"/>
        </w:rPr>
        <w:lastRenderedPageBreak/>
        <w:t>proportion standardized by its standard deviation (</w:t>
      </w:r>
      <w:proofErr w:type="spellStart"/>
      <w:r w:rsidRPr="006A6F93">
        <w:rPr>
          <w:rFonts w:ascii="Times New Roman" w:hAnsi="Times New Roman" w:cs="Times New Roman"/>
          <w:sz w:val="24"/>
          <w:szCs w:val="24"/>
          <w:lang w:val="en-US"/>
        </w:rPr>
        <w:t>Elyasiani</w:t>
      </w:r>
      <w:proofErr w:type="spellEnd"/>
      <w:r w:rsidRPr="006A6F93">
        <w:rPr>
          <w:rFonts w:ascii="Times New Roman" w:hAnsi="Times New Roman" w:cs="Times New Roman"/>
          <w:sz w:val="24"/>
          <w:szCs w:val="24"/>
          <w:lang w:val="en-US"/>
        </w:rPr>
        <w:t xml:space="preserve"> and </w:t>
      </w:r>
      <w:proofErr w:type="spellStart"/>
      <w:r w:rsidRPr="006A6F93">
        <w:rPr>
          <w:rFonts w:ascii="Times New Roman" w:hAnsi="Times New Roman" w:cs="Times New Roman"/>
          <w:sz w:val="24"/>
          <w:szCs w:val="24"/>
          <w:lang w:val="en-US"/>
        </w:rPr>
        <w:t>Jia</w:t>
      </w:r>
      <w:proofErr w:type="spellEnd"/>
      <w:r w:rsidRPr="006A6F93">
        <w:rPr>
          <w:rFonts w:ascii="Times New Roman" w:hAnsi="Times New Roman" w:cs="Times New Roman"/>
          <w:sz w:val="24"/>
          <w:szCs w:val="24"/>
          <w:lang w:val="en-US"/>
        </w:rPr>
        <w:t xml:space="preserve">, 2008). If an owner has a large ownership stake that is stable over timer, persistency is high. We find that foundations’ persistency is significantly higher in all samples. </w:t>
      </w:r>
    </w:p>
    <w:p w14:paraId="29B0C38D" w14:textId="51BBF7E2" w:rsidR="004034BD" w:rsidRPr="006A6F93" w:rsidRDefault="004034BD" w:rsidP="004034BD">
      <w:pPr>
        <w:ind w:firstLine="720"/>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 xml:space="preserve">In this respect, a drawback of measures using the standard deviation is that the standard deviation measures variation per se. What we are actually concerned about in relation to commitment and stability of ownership is negative changes, i.e. reductions in ownership stake. We therefore calculate the unconditional probability that a change in the ownership stake is a negative one. We find that the probability is significantly lower for foundation-owned firms, except for the propensity score matched sample, where the difference is insignificant. Finally, we calculate the unconditional probability of a significant drop in the ownership stake. A significant drop is defined as one from above 50% in one year to below 50% in the following. While the probability is low in any case, it is significantly lower in foundation-owned, except for the propensity score matched sample, where the difference again is insignificant. </w:t>
      </w:r>
    </w:p>
    <w:p w14:paraId="7D4AD1E9" w14:textId="77777777" w:rsidR="004034BD" w:rsidRPr="006A6F93" w:rsidRDefault="004034BD" w:rsidP="004034BD">
      <w:pPr>
        <w:rPr>
          <w:rFonts w:ascii="Times New Roman" w:hAnsi="Times New Roman" w:cs="Times New Roman"/>
          <w:sz w:val="24"/>
          <w:szCs w:val="24"/>
          <w:lang w:val="en-US"/>
        </w:rPr>
      </w:pPr>
    </w:p>
    <w:p w14:paraId="3A63C1BE" w14:textId="5AC6B4AB" w:rsidR="004034BD" w:rsidRPr="004034BD" w:rsidRDefault="00695B44" w:rsidP="004034BD">
      <w:pPr>
        <w:rPr>
          <w:rFonts w:ascii="Times New Roman" w:hAnsi="Times New Roman" w:cs="Times New Roman"/>
          <w:b/>
          <w:sz w:val="24"/>
          <w:szCs w:val="24"/>
        </w:rPr>
      </w:pP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 xml:space="preserve"> 2</w:t>
      </w:r>
      <w:r w:rsidR="004034BD" w:rsidRPr="004034BD">
        <w:rPr>
          <w:rFonts w:ascii="Times New Roman" w:hAnsi="Times New Roman" w:cs="Times New Roman"/>
          <w:b/>
          <w:sz w:val="24"/>
          <w:szCs w:val="24"/>
        </w:rPr>
        <w:t>. Stability of ownership.</w:t>
      </w:r>
    </w:p>
    <w:tbl>
      <w:tblPr>
        <w:tblStyle w:val="TableGrid"/>
        <w:tblW w:w="9464" w:type="dxa"/>
        <w:tblLook w:val="04A0" w:firstRow="1" w:lastRow="0" w:firstColumn="1" w:lastColumn="0" w:noHBand="0" w:noVBand="1"/>
      </w:tblPr>
      <w:tblGrid>
        <w:gridCol w:w="3605"/>
        <w:gridCol w:w="2185"/>
        <w:gridCol w:w="2186"/>
        <w:gridCol w:w="1488"/>
      </w:tblGrid>
      <w:tr w:rsidR="004034BD" w:rsidRPr="004034BD" w14:paraId="1EF50B80" w14:textId="77777777" w:rsidTr="00BE02F4">
        <w:tc>
          <w:tcPr>
            <w:tcW w:w="3605" w:type="dxa"/>
          </w:tcPr>
          <w:p w14:paraId="200C77A8" w14:textId="77777777" w:rsidR="004034BD" w:rsidRPr="004034BD" w:rsidRDefault="004034BD" w:rsidP="004034BD">
            <w:pPr>
              <w:spacing w:line="276" w:lineRule="auto"/>
              <w:rPr>
                <w:rFonts w:cs="Times New Roman"/>
                <w:b/>
                <w:szCs w:val="24"/>
              </w:rPr>
            </w:pPr>
          </w:p>
        </w:tc>
        <w:tc>
          <w:tcPr>
            <w:tcW w:w="2185" w:type="dxa"/>
          </w:tcPr>
          <w:p w14:paraId="19573583" w14:textId="77777777" w:rsidR="004034BD" w:rsidRPr="004034BD" w:rsidRDefault="004034BD" w:rsidP="004034BD">
            <w:pPr>
              <w:spacing w:line="276" w:lineRule="auto"/>
              <w:jc w:val="center"/>
              <w:rPr>
                <w:rFonts w:cs="Times New Roman"/>
                <w:b/>
                <w:szCs w:val="24"/>
              </w:rPr>
            </w:pPr>
            <w:r w:rsidRPr="004034BD">
              <w:rPr>
                <w:rFonts w:cs="Times New Roman"/>
                <w:b/>
                <w:szCs w:val="24"/>
              </w:rPr>
              <w:t>Foundation-owned</w:t>
            </w:r>
          </w:p>
        </w:tc>
        <w:tc>
          <w:tcPr>
            <w:tcW w:w="2186" w:type="dxa"/>
          </w:tcPr>
          <w:p w14:paraId="41AC8F06" w14:textId="77777777" w:rsidR="004034BD" w:rsidRPr="004034BD" w:rsidRDefault="004034BD" w:rsidP="004034BD">
            <w:pPr>
              <w:spacing w:line="276" w:lineRule="auto"/>
              <w:jc w:val="center"/>
              <w:rPr>
                <w:rFonts w:cs="Times New Roman"/>
                <w:b/>
                <w:szCs w:val="24"/>
              </w:rPr>
            </w:pPr>
            <w:r w:rsidRPr="004034BD">
              <w:rPr>
                <w:rFonts w:cs="Times New Roman"/>
                <w:b/>
                <w:szCs w:val="24"/>
              </w:rPr>
              <w:t>Other firms</w:t>
            </w:r>
          </w:p>
        </w:tc>
        <w:tc>
          <w:tcPr>
            <w:tcW w:w="1488" w:type="dxa"/>
          </w:tcPr>
          <w:p w14:paraId="13F7A802" w14:textId="77777777" w:rsidR="004034BD" w:rsidRPr="004034BD" w:rsidRDefault="004034BD" w:rsidP="004034BD">
            <w:pPr>
              <w:spacing w:line="276" w:lineRule="auto"/>
              <w:jc w:val="center"/>
              <w:rPr>
                <w:rFonts w:cs="Times New Roman"/>
                <w:b/>
                <w:szCs w:val="24"/>
              </w:rPr>
            </w:pPr>
            <w:r w:rsidRPr="004034BD">
              <w:rPr>
                <w:rFonts w:cs="Times New Roman"/>
                <w:b/>
                <w:szCs w:val="24"/>
              </w:rPr>
              <w:t>T-test</w:t>
            </w:r>
          </w:p>
        </w:tc>
      </w:tr>
      <w:tr w:rsidR="004034BD" w:rsidRPr="00794439" w14:paraId="2358CD8A" w14:textId="77777777" w:rsidTr="00DA28B9">
        <w:tc>
          <w:tcPr>
            <w:tcW w:w="3605" w:type="dxa"/>
          </w:tcPr>
          <w:p w14:paraId="39C6FEDF" w14:textId="77777777" w:rsidR="004034BD" w:rsidRPr="004034BD" w:rsidRDefault="004034BD" w:rsidP="004034BD">
            <w:pPr>
              <w:spacing w:line="276" w:lineRule="auto"/>
              <w:rPr>
                <w:rFonts w:cs="Times New Roman"/>
                <w:szCs w:val="24"/>
              </w:rPr>
            </w:pPr>
          </w:p>
        </w:tc>
        <w:tc>
          <w:tcPr>
            <w:tcW w:w="5859" w:type="dxa"/>
            <w:gridSpan w:val="3"/>
          </w:tcPr>
          <w:p w14:paraId="222C94E5" w14:textId="77777777" w:rsidR="004034BD" w:rsidRPr="004034BD" w:rsidRDefault="004034BD" w:rsidP="004034BD">
            <w:pPr>
              <w:spacing w:line="276" w:lineRule="auto"/>
              <w:jc w:val="center"/>
              <w:rPr>
                <w:rFonts w:cs="Times New Roman"/>
                <w:szCs w:val="24"/>
              </w:rPr>
            </w:pPr>
            <w:r w:rsidRPr="004034BD">
              <w:rPr>
                <w:rFonts w:cs="Times New Roman"/>
                <w:szCs w:val="24"/>
              </w:rPr>
              <w:t>Average within-firm standard deviation</w:t>
            </w:r>
          </w:p>
        </w:tc>
      </w:tr>
      <w:tr w:rsidR="004034BD" w:rsidRPr="004034BD" w14:paraId="7B1C4C3B" w14:textId="77777777" w:rsidTr="00BE02F4">
        <w:tc>
          <w:tcPr>
            <w:tcW w:w="3605" w:type="dxa"/>
          </w:tcPr>
          <w:p w14:paraId="20D1F164" w14:textId="77777777" w:rsidR="004034BD" w:rsidRPr="004034BD" w:rsidRDefault="004034BD" w:rsidP="004034BD">
            <w:pPr>
              <w:spacing w:line="276" w:lineRule="auto"/>
              <w:rPr>
                <w:rFonts w:cs="Times New Roman"/>
                <w:szCs w:val="24"/>
              </w:rPr>
            </w:pPr>
            <w:r w:rsidRPr="004034BD">
              <w:rPr>
                <w:rFonts w:cs="Times New Roman"/>
                <w:szCs w:val="24"/>
              </w:rPr>
              <w:t>All firms</w:t>
            </w:r>
          </w:p>
        </w:tc>
        <w:tc>
          <w:tcPr>
            <w:tcW w:w="2185" w:type="dxa"/>
          </w:tcPr>
          <w:p w14:paraId="31263D08" w14:textId="77777777" w:rsidR="004034BD" w:rsidRPr="004034BD" w:rsidRDefault="004034BD" w:rsidP="004034BD">
            <w:pPr>
              <w:spacing w:line="276" w:lineRule="auto"/>
              <w:jc w:val="right"/>
              <w:rPr>
                <w:rFonts w:cs="Times New Roman"/>
                <w:szCs w:val="24"/>
              </w:rPr>
            </w:pPr>
            <w:r w:rsidRPr="004034BD">
              <w:rPr>
                <w:rFonts w:cs="Times New Roman"/>
                <w:szCs w:val="24"/>
              </w:rPr>
              <w:t>1.78</w:t>
            </w:r>
          </w:p>
        </w:tc>
        <w:tc>
          <w:tcPr>
            <w:tcW w:w="2186" w:type="dxa"/>
          </w:tcPr>
          <w:p w14:paraId="23001C1F" w14:textId="77777777" w:rsidR="004034BD" w:rsidRPr="004034BD" w:rsidRDefault="004034BD" w:rsidP="004034BD">
            <w:pPr>
              <w:spacing w:line="276" w:lineRule="auto"/>
              <w:jc w:val="right"/>
              <w:rPr>
                <w:rFonts w:cs="Times New Roman"/>
                <w:szCs w:val="24"/>
              </w:rPr>
            </w:pPr>
            <w:r w:rsidRPr="004034BD">
              <w:rPr>
                <w:rFonts w:cs="Times New Roman"/>
                <w:szCs w:val="24"/>
              </w:rPr>
              <w:t>2.66</w:t>
            </w:r>
          </w:p>
        </w:tc>
        <w:tc>
          <w:tcPr>
            <w:tcW w:w="1488" w:type="dxa"/>
          </w:tcPr>
          <w:p w14:paraId="56439E49" w14:textId="77777777" w:rsidR="004034BD" w:rsidRPr="004034BD" w:rsidRDefault="004034BD" w:rsidP="004034BD">
            <w:pPr>
              <w:spacing w:line="276" w:lineRule="auto"/>
              <w:jc w:val="right"/>
              <w:rPr>
                <w:rFonts w:cs="Times New Roman"/>
                <w:szCs w:val="24"/>
              </w:rPr>
            </w:pPr>
            <w:r w:rsidRPr="004034BD">
              <w:rPr>
                <w:rFonts w:cs="Times New Roman"/>
                <w:szCs w:val="24"/>
              </w:rPr>
              <w:t>-7.87***</w:t>
            </w:r>
          </w:p>
        </w:tc>
      </w:tr>
      <w:tr w:rsidR="004034BD" w:rsidRPr="004034BD" w14:paraId="7FB7E384" w14:textId="77777777" w:rsidTr="00BE02F4">
        <w:tc>
          <w:tcPr>
            <w:tcW w:w="3605" w:type="dxa"/>
          </w:tcPr>
          <w:p w14:paraId="07A55AFD" w14:textId="77777777" w:rsidR="004034BD" w:rsidRPr="004034BD" w:rsidRDefault="004034BD" w:rsidP="004034BD">
            <w:pPr>
              <w:spacing w:line="276" w:lineRule="auto"/>
              <w:rPr>
                <w:rFonts w:cs="Times New Roman"/>
                <w:szCs w:val="24"/>
              </w:rPr>
            </w:pPr>
            <w:r w:rsidRPr="004034BD">
              <w:rPr>
                <w:rFonts w:cs="Times New Roman"/>
                <w:szCs w:val="24"/>
              </w:rPr>
              <w:t>Firms with 100 or more employees</w:t>
            </w:r>
          </w:p>
        </w:tc>
        <w:tc>
          <w:tcPr>
            <w:tcW w:w="2185" w:type="dxa"/>
          </w:tcPr>
          <w:p w14:paraId="6DA05095" w14:textId="77777777" w:rsidR="004034BD" w:rsidRPr="004034BD" w:rsidRDefault="004034BD" w:rsidP="004034BD">
            <w:pPr>
              <w:spacing w:line="276" w:lineRule="auto"/>
              <w:jc w:val="right"/>
              <w:rPr>
                <w:rFonts w:cs="Times New Roman"/>
                <w:szCs w:val="24"/>
              </w:rPr>
            </w:pPr>
            <w:r w:rsidRPr="004034BD">
              <w:rPr>
                <w:rFonts w:cs="Times New Roman"/>
                <w:szCs w:val="24"/>
              </w:rPr>
              <w:t>1.63</w:t>
            </w:r>
          </w:p>
        </w:tc>
        <w:tc>
          <w:tcPr>
            <w:tcW w:w="2186" w:type="dxa"/>
          </w:tcPr>
          <w:p w14:paraId="3A405891" w14:textId="77777777" w:rsidR="004034BD" w:rsidRPr="004034BD" w:rsidRDefault="004034BD" w:rsidP="004034BD">
            <w:pPr>
              <w:spacing w:line="276" w:lineRule="auto"/>
              <w:jc w:val="right"/>
              <w:rPr>
                <w:rFonts w:cs="Times New Roman"/>
                <w:szCs w:val="24"/>
              </w:rPr>
            </w:pPr>
            <w:r w:rsidRPr="004034BD">
              <w:rPr>
                <w:rFonts w:cs="Times New Roman"/>
                <w:szCs w:val="24"/>
              </w:rPr>
              <w:t>2.58</w:t>
            </w:r>
          </w:p>
        </w:tc>
        <w:tc>
          <w:tcPr>
            <w:tcW w:w="1488" w:type="dxa"/>
          </w:tcPr>
          <w:p w14:paraId="51929701" w14:textId="77777777" w:rsidR="004034BD" w:rsidRPr="004034BD" w:rsidRDefault="004034BD" w:rsidP="004034BD">
            <w:pPr>
              <w:spacing w:line="276" w:lineRule="auto"/>
              <w:jc w:val="right"/>
              <w:rPr>
                <w:rFonts w:cs="Times New Roman"/>
                <w:szCs w:val="24"/>
              </w:rPr>
            </w:pPr>
            <w:r w:rsidRPr="004034BD">
              <w:rPr>
                <w:rFonts w:cs="Times New Roman"/>
                <w:szCs w:val="24"/>
              </w:rPr>
              <w:t>-8.09***</w:t>
            </w:r>
          </w:p>
        </w:tc>
      </w:tr>
      <w:tr w:rsidR="004034BD" w:rsidRPr="004034BD" w14:paraId="388766F7" w14:textId="77777777" w:rsidTr="00DA28B9">
        <w:tc>
          <w:tcPr>
            <w:tcW w:w="3605" w:type="dxa"/>
          </w:tcPr>
          <w:p w14:paraId="4CA03D35" w14:textId="77777777" w:rsidR="004034BD" w:rsidRPr="004034BD" w:rsidRDefault="004034BD" w:rsidP="004034BD">
            <w:pPr>
              <w:spacing w:line="276" w:lineRule="auto"/>
              <w:rPr>
                <w:rFonts w:cs="Times New Roman"/>
                <w:szCs w:val="24"/>
              </w:rPr>
            </w:pPr>
            <w:r w:rsidRPr="004034BD">
              <w:rPr>
                <w:rFonts w:cs="Times New Roman"/>
                <w:szCs w:val="24"/>
              </w:rPr>
              <w:t>Propensity score matched firms</w:t>
            </w:r>
          </w:p>
        </w:tc>
        <w:tc>
          <w:tcPr>
            <w:tcW w:w="2185" w:type="dxa"/>
          </w:tcPr>
          <w:p w14:paraId="3A58F6A4" w14:textId="77777777" w:rsidR="004034BD" w:rsidRPr="004034BD" w:rsidRDefault="004034BD" w:rsidP="004034BD">
            <w:pPr>
              <w:spacing w:line="276" w:lineRule="auto"/>
              <w:jc w:val="right"/>
              <w:rPr>
                <w:rFonts w:cs="Times New Roman"/>
                <w:szCs w:val="24"/>
              </w:rPr>
            </w:pPr>
            <w:r w:rsidRPr="004034BD">
              <w:rPr>
                <w:rFonts w:cs="Times New Roman"/>
                <w:szCs w:val="24"/>
              </w:rPr>
              <w:t>2.92</w:t>
            </w:r>
          </w:p>
        </w:tc>
        <w:tc>
          <w:tcPr>
            <w:tcW w:w="2186" w:type="dxa"/>
          </w:tcPr>
          <w:p w14:paraId="01FAC9FF" w14:textId="77777777" w:rsidR="004034BD" w:rsidRPr="004034BD" w:rsidRDefault="004034BD" w:rsidP="004034BD">
            <w:pPr>
              <w:spacing w:line="276" w:lineRule="auto"/>
              <w:jc w:val="right"/>
              <w:rPr>
                <w:rFonts w:cs="Times New Roman"/>
                <w:szCs w:val="24"/>
              </w:rPr>
            </w:pPr>
            <w:r w:rsidRPr="004034BD">
              <w:rPr>
                <w:rFonts w:cs="Times New Roman"/>
                <w:szCs w:val="24"/>
              </w:rPr>
              <w:t>3.14</w:t>
            </w:r>
          </w:p>
        </w:tc>
        <w:tc>
          <w:tcPr>
            <w:tcW w:w="1488" w:type="dxa"/>
          </w:tcPr>
          <w:p w14:paraId="0D23FC01" w14:textId="77777777" w:rsidR="004034BD" w:rsidRPr="004034BD" w:rsidRDefault="004034BD" w:rsidP="004034BD">
            <w:pPr>
              <w:spacing w:line="276" w:lineRule="auto"/>
              <w:jc w:val="right"/>
              <w:rPr>
                <w:rFonts w:cs="Times New Roman"/>
                <w:szCs w:val="24"/>
              </w:rPr>
            </w:pPr>
            <w:r w:rsidRPr="004034BD">
              <w:rPr>
                <w:rFonts w:cs="Times New Roman"/>
                <w:szCs w:val="24"/>
              </w:rPr>
              <w:t>-0.48</w:t>
            </w:r>
          </w:p>
        </w:tc>
      </w:tr>
      <w:tr w:rsidR="004034BD" w:rsidRPr="004034BD" w14:paraId="1EB6FF17" w14:textId="77777777" w:rsidTr="00DA28B9">
        <w:tc>
          <w:tcPr>
            <w:tcW w:w="3605" w:type="dxa"/>
          </w:tcPr>
          <w:p w14:paraId="3D85EFD5" w14:textId="77777777" w:rsidR="004034BD" w:rsidRPr="004034BD" w:rsidRDefault="004034BD" w:rsidP="004034BD">
            <w:pPr>
              <w:spacing w:line="276" w:lineRule="auto"/>
              <w:rPr>
                <w:rFonts w:cs="Times New Roman"/>
                <w:szCs w:val="24"/>
              </w:rPr>
            </w:pPr>
          </w:p>
        </w:tc>
        <w:tc>
          <w:tcPr>
            <w:tcW w:w="5859" w:type="dxa"/>
            <w:gridSpan w:val="3"/>
          </w:tcPr>
          <w:p w14:paraId="564E8E54" w14:textId="77777777" w:rsidR="004034BD" w:rsidRPr="004034BD" w:rsidRDefault="004034BD" w:rsidP="004034BD">
            <w:pPr>
              <w:spacing w:line="276" w:lineRule="auto"/>
              <w:jc w:val="center"/>
              <w:rPr>
                <w:rFonts w:cs="Times New Roman"/>
                <w:szCs w:val="24"/>
              </w:rPr>
            </w:pPr>
            <w:r w:rsidRPr="004034BD">
              <w:rPr>
                <w:rFonts w:cs="Times New Roman"/>
                <w:szCs w:val="24"/>
              </w:rPr>
              <w:t>Persistency</w:t>
            </w:r>
          </w:p>
        </w:tc>
      </w:tr>
      <w:tr w:rsidR="004034BD" w:rsidRPr="004034BD" w14:paraId="33925154" w14:textId="77777777" w:rsidTr="00DA28B9">
        <w:tc>
          <w:tcPr>
            <w:tcW w:w="3605" w:type="dxa"/>
          </w:tcPr>
          <w:p w14:paraId="6D64CF46" w14:textId="77777777" w:rsidR="004034BD" w:rsidRPr="004034BD" w:rsidRDefault="004034BD" w:rsidP="004034BD">
            <w:pPr>
              <w:spacing w:line="276" w:lineRule="auto"/>
              <w:rPr>
                <w:rFonts w:cs="Times New Roman"/>
                <w:szCs w:val="24"/>
              </w:rPr>
            </w:pPr>
            <w:r w:rsidRPr="004034BD">
              <w:rPr>
                <w:rFonts w:cs="Times New Roman"/>
                <w:szCs w:val="24"/>
              </w:rPr>
              <w:t>All firms</w:t>
            </w:r>
          </w:p>
        </w:tc>
        <w:tc>
          <w:tcPr>
            <w:tcW w:w="2185" w:type="dxa"/>
          </w:tcPr>
          <w:p w14:paraId="4F7099EE" w14:textId="77777777" w:rsidR="004034BD" w:rsidRPr="004034BD" w:rsidRDefault="004034BD" w:rsidP="004034BD">
            <w:pPr>
              <w:spacing w:line="276" w:lineRule="auto"/>
              <w:jc w:val="right"/>
              <w:rPr>
                <w:rFonts w:cs="Times New Roman"/>
                <w:szCs w:val="24"/>
              </w:rPr>
            </w:pPr>
            <w:r w:rsidRPr="004034BD">
              <w:rPr>
                <w:rFonts w:cs="Times New Roman"/>
                <w:szCs w:val="24"/>
              </w:rPr>
              <w:t>37.78</w:t>
            </w:r>
          </w:p>
        </w:tc>
        <w:tc>
          <w:tcPr>
            <w:tcW w:w="2186" w:type="dxa"/>
          </w:tcPr>
          <w:p w14:paraId="2DCE0FB6" w14:textId="77777777" w:rsidR="004034BD" w:rsidRPr="004034BD" w:rsidRDefault="004034BD" w:rsidP="004034BD">
            <w:pPr>
              <w:spacing w:line="276" w:lineRule="auto"/>
              <w:jc w:val="right"/>
              <w:rPr>
                <w:rFonts w:cs="Times New Roman"/>
                <w:szCs w:val="24"/>
              </w:rPr>
            </w:pPr>
            <w:r w:rsidRPr="004034BD">
              <w:rPr>
                <w:rFonts w:cs="Times New Roman"/>
                <w:szCs w:val="24"/>
              </w:rPr>
              <w:t>20.19</w:t>
            </w:r>
          </w:p>
        </w:tc>
        <w:tc>
          <w:tcPr>
            <w:tcW w:w="1488" w:type="dxa"/>
          </w:tcPr>
          <w:p w14:paraId="553D8132" w14:textId="77777777" w:rsidR="004034BD" w:rsidRPr="004034BD" w:rsidRDefault="004034BD" w:rsidP="004034BD">
            <w:pPr>
              <w:spacing w:line="276" w:lineRule="auto"/>
              <w:jc w:val="right"/>
              <w:rPr>
                <w:rFonts w:cs="Times New Roman"/>
                <w:szCs w:val="24"/>
              </w:rPr>
            </w:pPr>
            <w:r w:rsidRPr="004034BD">
              <w:rPr>
                <w:rFonts w:cs="Times New Roman"/>
                <w:szCs w:val="24"/>
              </w:rPr>
              <w:t>10.35***</w:t>
            </w:r>
          </w:p>
        </w:tc>
      </w:tr>
      <w:tr w:rsidR="004034BD" w:rsidRPr="004034BD" w14:paraId="29508D91" w14:textId="77777777" w:rsidTr="00DA28B9">
        <w:tc>
          <w:tcPr>
            <w:tcW w:w="3605" w:type="dxa"/>
          </w:tcPr>
          <w:p w14:paraId="0F46C827" w14:textId="77777777" w:rsidR="004034BD" w:rsidRPr="004034BD" w:rsidRDefault="004034BD" w:rsidP="004034BD">
            <w:pPr>
              <w:spacing w:line="276" w:lineRule="auto"/>
              <w:rPr>
                <w:rFonts w:cs="Times New Roman"/>
                <w:szCs w:val="24"/>
              </w:rPr>
            </w:pPr>
            <w:r w:rsidRPr="004034BD">
              <w:rPr>
                <w:rFonts w:cs="Times New Roman"/>
                <w:szCs w:val="24"/>
              </w:rPr>
              <w:t>Firms with 100 or more employees</w:t>
            </w:r>
          </w:p>
        </w:tc>
        <w:tc>
          <w:tcPr>
            <w:tcW w:w="2185" w:type="dxa"/>
          </w:tcPr>
          <w:p w14:paraId="29794255" w14:textId="77777777" w:rsidR="004034BD" w:rsidRPr="004034BD" w:rsidRDefault="004034BD" w:rsidP="004034BD">
            <w:pPr>
              <w:spacing w:line="276" w:lineRule="auto"/>
              <w:jc w:val="right"/>
              <w:rPr>
                <w:rFonts w:cs="Times New Roman"/>
                <w:szCs w:val="24"/>
              </w:rPr>
            </w:pPr>
            <w:r w:rsidRPr="004034BD">
              <w:rPr>
                <w:rFonts w:cs="Times New Roman"/>
                <w:szCs w:val="24"/>
              </w:rPr>
              <w:t>38.94</w:t>
            </w:r>
          </w:p>
        </w:tc>
        <w:tc>
          <w:tcPr>
            <w:tcW w:w="2186" w:type="dxa"/>
          </w:tcPr>
          <w:p w14:paraId="2BF27944" w14:textId="77777777" w:rsidR="004034BD" w:rsidRPr="004034BD" w:rsidRDefault="004034BD" w:rsidP="004034BD">
            <w:pPr>
              <w:spacing w:line="276" w:lineRule="auto"/>
              <w:jc w:val="right"/>
              <w:rPr>
                <w:rFonts w:cs="Times New Roman"/>
                <w:szCs w:val="24"/>
              </w:rPr>
            </w:pPr>
            <w:r w:rsidRPr="004034BD">
              <w:rPr>
                <w:rFonts w:cs="Times New Roman"/>
                <w:szCs w:val="24"/>
              </w:rPr>
              <w:t>19.56</w:t>
            </w:r>
          </w:p>
        </w:tc>
        <w:tc>
          <w:tcPr>
            <w:tcW w:w="1488" w:type="dxa"/>
          </w:tcPr>
          <w:p w14:paraId="1022FCFF" w14:textId="77777777" w:rsidR="004034BD" w:rsidRPr="004034BD" w:rsidRDefault="004034BD" w:rsidP="004034BD">
            <w:pPr>
              <w:spacing w:line="276" w:lineRule="auto"/>
              <w:jc w:val="right"/>
              <w:rPr>
                <w:rFonts w:cs="Times New Roman"/>
                <w:szCs w:val="24"/>
              </w:rPr>
            </w:pPr>
            <w:r w:rsidRPr="004034BD">
              <w:rPr>
                <w:rFonts w:cs="Times New Roman"/>
                <w:szCs w:val="24"/>
              </w:rPr>
              <w:t>10.15***</w:t>
            </w:r>
          </w:p>
        </w:tc>
      </w:tr>
      <w:tr w:rsidR="004034BD" w:rsidRPr="004034BD" w14:paraId="5D546791" w14:textId="77777777" w:rsidTr="000E078C">
        <w:tc>
          <w:tcPr>
            <w:tcW w:w="3605" w:type="dxa"/>
          </w:tcPr>
          <w:p w14:paraId="1253BFBB" w14:textId="77777777" w:rsidR="004034BD" w:rsidRPr="004034BD" w:rsidRDefault="004034BD" w:rsidP="004034BD">
            <w:pPr>
              <w:spacing w:line="276" w:lineRule="auto"/>
              <w:rPr>
                <w:rFonts w:cs="Times New Roman"/>
                <w:szCs w:val="24"/>
              </w:rPr>
            </w:pPr>
            <w:r w:rsidRPr="004034BD">
              <w:rPr>
                <w:rFonts w:cs="Times New Roman"/>
                <w:szCs w:val="24"/>
              </w:rPr>
              <w:t>Propensity score matched firms</w:t>
            </w:r>
          </w:p>
        </w:tc>
        <w:tc>
          <w:tcPr>
            <w:tcW w:w="2185" w:type="dxa"/>
          </w:tcPr>
          <w:p w14:paraId="31EF2A6C" w14:textId="77777777" w:rsidR="004034BD" w:rsidRPr="004034BD" w:rsidRDefault="004034BD" w:rsidP="004034BD">
            <w:pPr>
              <w:spacing w:line="276" w:lineRule="auto"/>
              <w:jc w:val="right"/>
              <w:rPr>
                <w:rFonts w:cs="Times New Roman"/>
                <w:szCs w:val="24"/>
              </w:rPr>
            </w:pPr>
            <w:r w:rsidRPr="004034BD">
              <w:rPr>
                <w:rFonts w:cs="Times New Roman"/>
                <w:szCs w:val="24"/>
              </w:rPr>
              <w:t>42.08</w:t>
            </w:r>
          </w:p>
        </w:tc>
        <w:tc>
          <w:tcPr>
            <w:tcW w:w="2186" w:type="dxa"/>
          </w:tcPr>
          <w:p w14:paraId="3F3B41A2" w14:textId="77777777" w:rsidR="004034BD" w:rsidRPr="004034BD" w:rsidRDefault="004034BD" w:rsidP="004034BD">
            <w:pPr>
              <w:spacing w:line="276" w:lineRule="auto"/>
              <w:jc w:val="right"/>
              <w:rPr>
                <w:rFonts w:cs="Times New Roman"/>
                <w:szCs w:val="24"/>
              </w:rPr>
            </w:pPr>
            <w:r w:rsidRPr="004034BD">
              <w:rPr>
                <w:rFonts w:cs="Times New Roman"/>
                <w:szCs w:val="24"/>
              </w:rPr>
              <w:t>9.16</w:t>
            </w:r>
          </w:p>
        </w:tc>
        <w:tc>
          <w:tcPr>
            <w:tcW w:w="1488" w:type="dxa"/>
          </w:tcPr>
          <w:p w14:paraId="5F51B9DE" w14:textId="77777777" w:rsidR="004034BD" w:rsidRPr="004034BD" w:rsidRDefault="004034BD" w:rsidP="004034BD">
            <w:pPr>
              <w:spacing w:line="276" w:lineRule="auto"/>
              <w:jc w:val="right"/>
              <w:rPr>
                <w:rFonts w:cs="Times New Roman"/>
                <w:szCs w:val="24"/>
              </w:rPr>
            </w:pPr>
            <w:r w:rsidRPr="004034BD">
              <w:rPr>
                <w:rFonts w:cs="Times New Roman"/>
                <w:szCs w:val="24"/>
              </w:rPr>
              <w:t>4.38***</w:t>
            </w:r>
          </w:p>
        </w:tc>
      </w:tr>
      <w:tr w:rsidR="004034BD" w:rsidRPr="004034BD" w14:paraId="29F77B62" w14:textId="77777777" w:rsidTr="000E078C">
        <w:tc>
          <w:tcPr>
            <w:tcW w:w="3605" w:type="dxa"/>
          </w:tcPr>
          <w:p w14:paraId="0A16116D" w14:textId="77777777" w:rsidR="004034BD" w:rsidRPr="004034BD" w:rsidRDefault="004034BD" w:rsidP="004034BD">
            <w:pPr>
              <w:spacing w:line="276" w:lineRule="auto"/>
              <w:rPr>
                <w:rFonts w:cs="Times New Roman"/>
                <w:szCs w:val="24"/>
              </w:rPr>
            </w:pPr>
          </w:p>
        </w:tc>
        <w:tc>
          <w:tcPr>
            <w:tcW w:w="5859" w:type="dxa"/>
            <w:gridSpan w:val="3"/>
          </w:tcPr>
          <w:p w14:paraId="0BA73DB8" w14:textId="77777777" w:rsidR="004034BD" w:rsidRPr="004034BD" w:rsidRDefault="004034BD" w:rsidP="004034BD">
            <w:pPr>
              <w:spacing w:line="276" w:lineRule="auto"/>
              <w:jc w:val="center"/>
              <w:rPr>
                <w:rFonts w:cs="Times New Roman"/>
                <w:szCs w:val="24"/>
              </w:rPr>
            </w:pPr>
            <w:r w:rsidRPr="004034BD">
              <w:rPr>
                <w:rFonts w:cs="Times New Roman"/>
                <w:szCs w:val="24"/>
              </w:rPr>
              <w:t>Probability of reduction</w:t>
            </w:r>
          </w:p>
        </w:tc>
      </w:tr>
      <w:tr w:rsidR="004034BD" w:rsidRPr="004034BD" w14:paraId="713D2FB9" w14:textId="77777777" w:rsidTr="000E078C">
        <w:tc>
          <w:tcPr>
            <w:tcW w:w="3605" w:type="dxa"/>
          </w:tcPr>
          <w:p w14:paraId="164539A4" w14:textId="77777777" w:rsidR="004034BD" w:rsidRPr="004034BD" w:rsidRDefault="004034BD" w:rsidP="004034BD">
            <w:pPr>
              <w:spacing w:line="276" w:lineRule="auto"/>
              <w:rPr>
                <w:rFonts w:cs="Times New Roman"/>
                <w:szCs w:val="24"/>
              </w:rPr>
            </w:pPr>
            <w:r w:rsidRPr="004034BD">
              <w:rPr>
                <w:rFonts w:cs="Times New Roman"/>
                <w:szCs w:val="24"/>
              </w:rPr>
              <w:t>All firms</w:t>
            </w:r>
          </w:p>
        </w:tc>
        <w:tc>
          <w:tcPr>
            <w:tcW w:w="2185" w:type="dxa"/>
          </w:tcPr>
          <w:p w14:paraId="78C116A6" w14:textId="77777777" w:rsidR="004034BD" w:rsidRPr="004034BD" w:rsidRDefault="004034BD" w:rsidP="004034BD">
            <w:pPr>
              <w:spacing w:line="276" w:lineRule="auto"/>
              <w:jc w:val="right"/>
              <w:rPr>
                <w:rFonts w:cs="Times New Roman"/>
                <w:szCs w:val="24"/>
              </w:rPr>
            </w:pPr>
            <w:r w:rsidRPr="004034BD">
              <w:rPr>
                <w:rFonts w:cs="Times New Roman"/>
                <w:szCs w:val="24"/>
              </w:rPr>
              <w:t>0.03</w:t>
            </w:r>
          </w:p>
        </w:tc>
        <w:tc>
          <w:tcPr>
            <w:tcW w:w="2186" w:type="dxa"/>
          </w:tcPr>
          <w:p w14:paraId="228EE8D9" w14:textId="77777777" w:rsidR="004034BD" w:rsidRPr="004034BD" w:rsidRDefault="004034BD" w:rsidP="004034BD">
            <w:pPr>
              <w:spacing w:line="276" w:lineRule="auto"/>
              <w:jc w:val="right"/>
              <w:rPr>
                <w:rFonts w:cs="Times New Roman"/>
                <w:szCs w:val="24"/>
              </w:rPr>
            </w:pPr>
            <w:r w:rsidRPr="004034BD">
              <w:rPr>
                <w:rFonts w:cs="Times New Roman"/>
                <w:szCs w:val="24"/>
              </w:rPr>
              <w:t>0.05</w:t>
            </w:r>
          </w:p>
        </w:tc>
        <w:tc>
          <w:tcPr>
            <w:tcW w:w="1488" w:type="dxa"/>
          </w:tcPr>
          <w:p w14:paraId="5F87A120" w14:textId="77777777" w:rsidR="004034BD" w:rsidRPr="004034BD" w:rsidRDefault="004034BD" w:rsidP="004034BD">
            <w:pPr>
              <w:spacing w:line="276" w:lineRule="auto"/>
              <w:jc w:val="right"/>
              <w:rPr>
                <w:rFonts w:cs="Times New Roman"/>
                <w:szCs w:val="24"/>
              </w:rPr>
            </w:pPr>
            <w:r w:rsidRPr="004034BD">
              <w:rPr>
                <w:rFonts w:cs="Times New Roman"/>
                <w:szCs w:val="24"/>
              </w:rPr>
              <w:t>-6.92***</w:t>
            </w:r>
          </w:p>
        </w:tc>
      </w:tr>
      <w:tr w:rsidR="004034BD" w:rsidRPr="004034BD" w14:paraId="4E26D3D1" w14:textId="77777777" w:rsidTr="000E078C">
        <w:tc>
          <w:tcPr>
            <w:tcW w:w="3605" w:type="dxa"/>
          </w:tcPr>
          <w:p w14:paraId="535CCA03" w14:textId="77777777" w:rsidR="004034BD" w:rsidRPr="004034BD" w:rsidRDefault="004034BD" w:rsidP="004034BD">
            <w:pPr>
              <w:spacing w:line="276" w:lineRule="auto"/>
              <w:rPr>
                <w:rFonts w:cs="Times New Roman"/>
                <w:szCs w:val="24"/>
              </w:rPr>
            </w:pPr>
            <w:r w:rsidRPr="004034BD">
              <w:rPr>
                <w:rFonts w:cs="Times New Roman"/>
                <w:szCs w:val="24"/>
              </w:rPr>
              <w:t>Firms with 100 or more employees</w:t>
            </w:r>
          </w:p>
        </w:tc>
        <w:tc>
          <w:tcPr>
            <w:tcW w:w="2185" w:type="dxa"/>
          </w:tcPr>
          <w:p w14:paraId="29BEAE08" w14:textId="77777777" w:rsidR="004034BD" w:rsidRPr="004034BD" w:rsidRDefault="004034BD" w:rsidP="004034BD">
            <w:pPr>
              <w:spacing w:line="276" w:lineRule="auto"/>
              <w:jc w:val="right"/>
              <w:rPr>
                <w:rFonts w:cs="Times New Roman"/>
                <w:szCs w:val="24"/>
              </w:rPr>
            </w:pPr>
            <w:r w:rsidRPr="004034BD">
              <w:rPr>
                <w:rFonts w:cs="Times New Roman"/>
                <w:szCs w:val="24"/>
              </w:rPr>
              <w:t>0.03</w:t>
            </w:r>
          </w:p>
        </w:tc>
        <w:tc>
          <w:tcPr>
            <w:tcW w:w="2186" w:type="dxa"/>
          </w:tcPr>
          <w:p w14:paraId="132733B0" w14:textId="77777777" w:rsidR="004034BD" w:rsidRPr="004034BD" w:rsidRDefault="004034BD" w:rsidP="004034BD">
            <w:pPr>
              <w:spacing w:line="276" w:lineRule="auto"/>
              <w:jc w:val="right"/>
              <w:rPr>
                <w:rFonts w:cs="Times New Roman"/>
                <w:szCs w:val="24"/>
              </w:rPr>
            </w:pPr>
            <w:r w:rsidRPr="004034BD">
              <w:rPr>
                <w:rFonts w:cs="Times New Roman"/>
                <w:szCs w:val="24"/>
              </w:rPr>
              <w:t>0.05</w:t>
            </w:r>
          </w:p>
        </w:tc>
        <w:tc>
          <w:tcPr>
            <w:tcW w:w="1488" w:type="dxa"/>
          </w:tcPr>
          <w:p w14:paraId="61F6A50D" w14:textId="77777777" w:rsidR="004034BD" w:rsidRPr="004034BD" w:rsidRDefault="004034BD" w:rsidP="004034BD">
            <w:pPr>
              <w:spacing w:line="276" w:lineRule="auto"/>
              <w:jc w:val="right"/>
              <w:rPr>
                <w:rFonts w:cs="Times New Roman"/>
                <w:szCs w:val="24"/>
              </w:rPr>
            </w:pPr>
            <w:r w:rsidRPr="004034BD">
              <w:rPr>
                <w:rFonts w:cs="Times New Roman"/>
                <w:szCs w:val="24"/>
              </w:rPr>
              <w:t>-4.76***</w:t>
            </w:r>
          </w:p>
        </w:tc>
      </w:tr>
      <w:tr w:rsidR="004034BD" w:rsidRPr="004034BD" w14:paraId="10F5B27B" w14:textId="77777777" w:rsidTr="006D06AB">
        <w:tc>
          <w:tcPr>
            <w:tcW w:w="3605" w:type="dxa"/>
          </w:tcPr>
          <w:p w14:paraId="4298C893" w14:textId="77777777" w:rsidR="004034BD" w:rsidRPr="004034BD" w:rsidRDefault="004034BD" w:rsidP="004034BD">
            <w:pPr>
              <w:spacing w:line="276" w:lineRule="auto"/>
              <w:rPr>
                <w:rFonts w:cs="Times New Roman"/>
                <w:szCs w:val="24"/>
              </w:rPr>
            </w:pPr>
            <w:r w:rsidRPr="004034BD">
              <w:rPr>
                <w:rFonts w:cs="Times New Roman"/>
                <w:szCs w:val="24"/>
              </w:rPr>
              <w:t>Propensity score matched firms</w:t>
            </w:r>
          </w:p>
        </w:tc>
        <w:tc>
          <w:tcPr>
            <w:tcW w:w="2185" w:type="dxa"/>
          </w:tcPr>
          <w:p w14:paraId="7A538C76" w14:textId="77777777" w:rsidR="004034BD" w:rsidRPr="004034BD" w:rsidRDefault="004034BD" w:rsidP="004034BD">
            <w:pPr>
              <w:spacing w:line="276" w:lineRule="auto"/>
              <w:jc w:val="right"/>
              <w:rPr>
                <w:rFonts w:cs="Times New Roman"/>
                <w:szCs w:val="24"/>
              </w:rPr>
            </w:pPr>
            <w:r w:rsidRPr="004034BD">
              <w:rPr>
                <w:rFonts w:cs="Times New Roman"/>
                <w:szCs w:val="24"/>
              </w:rPr>
              <w:t>0.05</w:t>
            </w:r>
          </w:p>
        </w:tc>
        <w:tc>
          <w:tcPr>
            <w:tcW w:w="2186" w:type="dxa"/>
          </w:tcPr>
          <w:p w14:paraId="72407BA2" w14:textId="77777777" w:rsidR="004034BD" w:rsidRPr="004034BD" w:rsidRDefault="004034BD" w:rsidP="004034BD">
            <w:pPr>
              <w:spacing w:line="276" w:lineRule="auto"/>
              <w:jc w:val="right"/>
              <w:rPr>
                <w:rFonts w:cs="Times New Roman"/>
                <w:szCs w:val="24"/>
              </w:rPr>
            </w:pPr>
            <w:r w:rsidRPr="004034BD">
              <w:rPr>
                <w:rFonts w:cs="Times New Roman"/>
                <w:szCs w:val="24"/>
              </w:rPr>
              <w:t>0.06</w:t>
            </w:r>
          </w:p>
        </w:tc>
        <w:tc>
          <w:tcPr>
            <w:tcW w:w="1488" w:type="dxa"/>
          </w:tcPr>
          <w:p w14:paraId="2ED3DDEE" w14:textId="77777777" w:rsidR="004034BD" w:rsidRPr="004034BD" w:rsidRDefault="004034BD" w:rsidP="004034BD">
            <w:pPr>
              <w:spacing w:line="276" w:lineRule="auto"/>
              <w:jc w:val="right"/>
              <w:rPr>
                <w:rFonts w:cs="Times New Roman"/>
                <w:szCs w:val="24"/>
              </w:rPr>
            </w:pPr>
            <w:r w:rsidRPr="004034BD">
              <w:rPr>
                <w:rFonts w:cs="Times New Roman"/>
                <w:szCs w:val="24"/>
              </w:rPr>
              <w:t>-1.24</w:t>
            </w:r>
          </w:p>
        </w:tc>
      </w:tr>
      <w:tr w:rsidR="004034BD" w:rsidRPr="004034BD" w14:paraId="691D3D83" w14:textId="77777777" w:rsidTr="006D06AB">
        <w:tc>
          <w:tcPr>
            <w:tcW w:w="3605" w:type="dxa"/>
          </w:tcPr>
          <w:p w14:paraId="3CCCC2F2" w14:textId="77777777" w:rsidR="004034BD" w:rsidRPr="004034BD" w:rsidRDefault="004034BD" w:rsidP="004034BD">
            <w:pPr>
              <w:spacing w:line="276" w:lineRule="auto"/>
              <w:rPr>
                <w:rFonts w:cs="Times New Roman"/>
                <w:szCs w:val="24"/>
              </w:rPr>
            </w:pPr>
          </w:p>
        </w:tc>
        <w:tc>
          <w:tcPr>
            <w:tcW w:w="5859" w:type="dxa"/>
            <w:gridSpan w:val="3"/>
          </w:tcPr>
          <w:p w14:paraId="165F827A" w14:textId="77777777" w:rsidR="004034BD" w:rsidRPr="004034BD" w:rsidRDefault="004034BD" w:rsidP="004034BD">
            <w:pPr>
              <w:spacing w:line="276" w:lineRule="auto"/>
              <w:jc w:val="center"/>
              <w:rPr>
                <w:rFonts w:cs="Times New Roman"/>
                <w:szCs w:val="24"/>
              </w:rPr>
            </w:pPr>
            <w:r w:rsidRPr="004034BD">
              <w:rPr>
                <w:rFonts w:cs="Times New Roman"/>
                <w:szCs w:val="24"/>
              </w:rPr>
              <w:t>Probability of significant drop</w:t>
            </w:r>
          </w:p>
        </w:tc>
      </w:tr>
      <w:tr w:rsidR="004034BD" w:rsidRPr="004034BD" w14:paraId="1EB85E2D" w14:textId="77777777" w:rsidTr="006D06AB">
        <w:tc>
          <w:tcPr>
            <w:tcW w:w="3605" w:type="dxa"/>
          </w:tcPr>
          <w:p w14:paraId="21CDB776" w14:textId="77777777" w:rsidR="004034BD" w:rsidRPr="004034BD" w:rsidRDefault="004034BD" w:rsidP="004034BD">
            <w:pPr>
              <w:spacing w:line="276" w:lineRule="auto"/>
              <w:rPr>
                <w:rFonts w:cs="Times New Roman"/>
                <w:szCs w:val="24"/>
              </w:rPr>
            </w:pPr>
            <w:r w:rsidRPr="004034BD">
              <w:rPr>
                <w:rFonts w:cs="Times New Roman"/>
                <w:szCs w:val="24"/>
              </w:rPr>
              <w:t>All firms</w:t>
            </w:r>
          </w:p>
        </w:tc>
        <w:tc>
          <w:tcPr>
            <w:tcW w:w="2185" w:type="dxa"/>
          </w:tcPr>
          <w:p w14:paraId="6C0400C8" w14:textId="77777777" w:rsidR="004034BD" w:rsidRPr="004034BD" w:rsidRDefault="004034BD" w:rsidP="004034BD">
            <w:pPr>
              <w:spacing w:line="276" w:lineRule="auto"/>
              <w:jc w:val="right"/>
              <w:rPr>
                <w:rFonts w:cs="Times New Roman"/>
                <w:szCs w:val="24"/>
              </w:rPr>
            </w:pPr>
            <w:r w:rsidRPr="004034BD">
              <w:rPr>
                <w:rFonts w:cs="Times New Roman"/>
                <w:szCs w:val="24"/>
              </w:rPr>
              <w:t>0.00</w:t>
            </w:r>
          </w:p>
        </w:tc>
        <w:tc>
          <w:tcPr>
            <w:tcW w:w="2186" w:type="dxa"/>
          </w:tcPr>
          <w:p w14:paraId="709EED78" w14:textId="77777777" w:rsidR="004034BD" w:rsidRPr="004034BD" w:rsidRDefault="004034BD" w:rsidP="004034BD">
            <w:pPr>
              <w:spacing w:line="276" w:lineRule="auto"/>
              <w:jc w:val="right"/>
              <w:rPr>
                <w:rFonts w:cs="Times New Roman"/>
                <w:szCs w:val="24"/>
              </w:rPr>
            </w:pPr>
            <w:r w:rsidRPr="004034BD">
              <w:rPr>
                <w:rFonts w:cs="Times New Roman"/>
                <w:szCs w:val="24"/>
              </w:rPr>
              <w:t>0.01</w:t>
            </w:r>
          </w:p>
        </w:tc>
        <w:tc>
          <w:tcPr>
            <w:tcW w:w="1488" w:type="dxa"/>
          </w:tcPr>
          <w:p w14:paraId="1C08F554" w14:textId="77777777" w:rsidR="004034BD" w:rsidRPr="004034BD" w:rsidRDefault="004034BD" w:rsidP="004034BD">
            <w:pPr>
              <w:spacing w:line="276" w:lineRule="auto"/>
              <w:jc w:val="right"/>
              <w:rPr>
                <w:rFonts w:cs="Times New Roman"/>
                <w:szCs w:val="24"/>
              </w:rPr>
            </w:pPr>
            <w:r w:rsidRPr="004034BD">
              <w:rPr>
                <w:rFonts w:cs="Times New Roman"/>
                <w:szCs w:val="24"/>
              </w:rPr>
              <w:t>-3.04***</w:t>
            </w:r>
          </w:p>
        </w:tc>
      </w:tr>
      <w:tr w:rsidR="004034BD" w:rsidRPr="004034BD" w14:paraId="01F2D248" w14:textId="77777777" w:rsidTr="006D06AB">
        <w:tc>
          <w:tcPr>
            <w:tcW w:w="3605" w:type="dxa"/>
          </w:tcPr>
          <w:p w14:paraId="2201A2D7" w14:textId="77777777" w:rsidR="004034BD" w:rsidRPr="004034BD" w:rsidRDefault="004034BD" w:rsidP="004034BD">
            <w:pPr>
              <w:spacing w:line="276" w:lineRule="auto"/>
              <w:rPr>
                <w:rFonts w:cs="Times New Roman"/>
                <w:szCs w:val="24"/>
              </w:rPr>
            </w:pPr>
            <w:r w:rsidRPr="004034BD">
              <w:rPr>
                <w:rFonts w:cs="Times New Roman"/>
                <w:szCs w:val="24"/>
              </w:rPr>
              <w:t>Firms with 100 or more employees</w:t>
            </w:r>
          </w:p>
        </w:tc>
        <w:tc>
          <w:tcPr>
            <w:tcW w:w="2185" w:type="dxa"/>
          </w:tcPr>
          <w:p w14:paraId="33D0D850" w14:textId="77777777" w:rsidR="004034BD" w:rsidRPr="004034BD" w:rsidRDefault="004034BD" w:rsidP="004034BD">
            <w:pPr>
              <w:spacing w:line="276" w:lineRule="auto"/>
              <w:jc w:val="right"/>
              <w:rPr>
                <w:rFonts w:cs="Times New Roman"/>
                <w:szCs w:val="24"/>
              </w:rPr>
            </w:pPr>
            <w:r w:rsidRPr="004034BD">
              <w:rPr>
                <w:rFonts w:cs="Times New Roman"/>
                <w:szCs w:val="24"/>
              </w:rPr>
              <w:t>0.00</w:t>
            </w:r>
          </w:p>
        </w:tc>
        <w:tc>
          <w:tcPr>
            <w:tcW w:w="2186" w:type="dxa"/>
          </w:tcPr>
          <w:p w14:paraId="6E075677" w14:textId="77777777" w:rsidR="004034BD" w:rsidRPr="004034BD" w:rsidRDefault="004034BD" w:rsidP="004034BD">
            <w:pPr>
              <w:spacing w:line="276" w:lineRule="auto"/>
              <w:jc w:val="right"/>
              <w:rPr>
                <w:rFonts w:cs="Times New Roman"/>
                <w:szCs w:val="24"/>
              </w:rPr>
            </w:pPr>
            <w:r w:rsidRPr="004034BD">
              <w:rPr>
                <w:rFonts w:cs="Times New Roman"/>
                <w:szCs w:val="24"/>
              </w:rPr>
              <w:t>0.01</w:t>
            </w:r>
          </w:p>
        </w:tc>
        <w:tc>
          <w:tcPr>
            <w:tcW w:w="1488" w:type="dxa"/>
          </w:tcPr>
          <w:p w14:paraId="2A8D1888" w14:textId="77777777" w:rsidR="004034BD" w:rsidRPr="004034BD" w:rsidRDefault="004034BD" w:rsidP="004034BD">
            <w:pPr>
              <w:spacing w:line="276" w:lineRule="auto"/>
              <w:jc w:val="right"/>
              <w:rPr>
                <w:rFonts w:cs="Times New Roman"/>
                <w:szCs w:val="24"/>
              </w:rPr>
            </w:pPr>
            <w:r w:rsidRPr="004034BD">
              <w:rPr>
                <w:rFonts w:cs="Times New Roman"/>
                <w:szCs w:val="24"/>
              </w:rPr>
              <w:t>-2.84***</w:t>
            </w:r>
          </w:p>
        </w:tc>
      </w:tr>
      <w:tr w:rsidR="004034BD" w:rsidRPr="004034BD" w14:paraId="38696814" w14:textId="77777777" w:rsidTr="00BE02F4">
        <w:tc>
          <w:tcPr>
            <w:tcW w:w="3605" w:type="dxa"/>
          </w:tcPr>
          <w:p w14:paraId="5B79C276" w14:textId="77777777" w:rsidR="004034BD" w:rsidRPr="004034BD" w:rsidRDefault="004034BD" w:rsidP="004034BD">
            <w:pPr>
              <w:spacing w:line="276" w:lineRule="auto"/>
              <w:rPr>
                <w:rFonts w:cs="Times New Roman"/>
                <w:szCs w:val="24"/>
              </w:rPr>
            </w:pPr>
            <w:r w:rsidRPr="004034BD">
              <w:rPr>
                <w:rFonts w:cs="Times New Roman"/>
                <w:szCs w:val="24"/>
              </w:rPr>
              <w:t>Propensity score matched firms</w:t>
            </w:r>
          </w:p>
        </w:tc>
        <w:tc>
          <w:tcPr>
            <w:tcW w:w="2185" w:type="dxa"/>
          </w:tcPr>
          <w:p w14:paraId="69260C72" w14:textId="77777777" w:rsidR="004034BD" w:rsidRPr="004034BD" w:rsidRDefault="004034BD" w:rsidP="004034BD">
            <w:pPr>
              <w:spacing w:line="276" w:lineRule="auto"/>
              <w:jc w:val="right"/>
              <w:rPr>
                <w:rFonts w:cs="Times New Roman"/>
                <w:szCs w:val="24"/>
              </w:rPr>
            </w:pPr>
            <w:r w:rsidRPr="004034BD">
              <w:rPr>
                <w:rFonts w:cs="Times New Roman"/>
                <w:szCs w:val="24"/>
              </w:rPr>
              <w:t>0.00</w:t>
            </w:r>
          </w:p>
        </w:tc>
        <w:tc>
          <w:tcPr>
            <w:tcW w:w="2186" w:type="dxa"/>
          </w:tcPr>
          <w:p w14:paraId="73B8719D" w14:textId="77777777" w:rsidR="004034BD" w:rsidRPr="004034BD" w:rsidRDefault="004034BD" w:rsidP="004034BD">
            <w:pPr>
              <w:spacing w:line="276" w:lineRule="auto"/>
              <w:jc w:val="right"/>
              <w:rPr>
                <w:rFonts w:cs="Times New Roman"/>
                <w:szCs w:val="24"/>
              </w:rPr>
            </w:pPr>
            <w:r w:rsidRPr="004034BD">
              <w:rPr>
                <w:rFonts w:cs="Times New Roman"/>
                <w:szCs w:val="24"/>
              </w:rPr>
              <w:t>0.01</w:t>
            </w:r>
          </w:p>
        </w:tc>
        <w:tc>
          <w:tcPr>
            <w:tcW w:w="1488" w:type="dxa"/>
          </w:tcPr>
          <w:p w14:paraId="05EB8C13" w14:textId="77777777" w:rsidR="004034BD" w:rsidRPr="004034BD" w:rsidRDefault="004034BD" w:rsidP="004034BD">
            <w:pPr>
              <w:spacing w:line="276" w:lineRule="auto"/>
              <w:jc w:val="right"/>
              <w:rPr>
                <w:rFonts w:cs="Times New Roman"/>
                <w:szCs w:val="24"/>
              </w:rPr>
            </w:pPr>
            <w:r w:rsidRPr="004034BD">
              <w:rPr>
                <w:rFonts w:cs="Times New Roman"/>
                <w:szCs w:val="24"/>
              </w:rPr>
              <w:t>-1.35</w:t>
            </w:r>
          </w:p>
        </w:tc>
      </w:tr>
    </w:tbl>
    <w:p w14:paraId="3ECAA36E" w14:textId="77777777" w:rsidR="004034BD" w:rsidRDefault="004034BD" w:rsidP="004034BD">
      <w:pPr>
        <w:rPr>
          <w:rFonts w:ascii="Times New Roman" w:hAnsi="Times New Roman" w:cs="Times New Roman"/>
          <w:b/>
          <w:sz w:val="24"/>
          <w:szCs w:val="24"/>
        </w:rPr>
      </w:pPr>
    </w:p>
    <w:p w14:paraId="633DB7AB" w14:textId="159C6541" w:rsidR="00364DD6" w:rsidRDefault="00364DD6" w:rsidP="004034BD">
      <w:pPr>
        <w:rPr>
          <w:rFonts w:ascii="Times New Roman" w:hAnsi="Times New Roman" w:cs="Times New Roman"/>
          <w:sz w:val="24"/>
          <w:szCs w:val="24"/>
          <w:lang w:val="en-US"/>
        </w:rPr>
      </w:pPr>
      <w:r w:rsidRPr="00364DD6">
        <w:rPr>
          <w:rFonts w:ascii="Times New Roman" w:hAnsi="Times New Roman" w:cs="Times New Roman"/>
          <w:sz w:val="24"/>
          <w:szCs w:val="24"/>
          <w:lang w:val="en-US"/>
        </w:rPr>
        <w:t>This leaves us with the general impression that foundation ownership is more stable</w:t>
      </w:r>
      <w:r>
        <w:rPr>
          <w:rFonts w:ascii="Times New Roman" w:hAnsi="Times New Roman" w:cs="Times New Roman"/>
          <w:sz w:val="24"/>
          <w:szCs w:val="24"/>
          <w:lang w:val="en-US"/>
        </w:rPr>
        <w:t>. However, it would seem important to take other variables into account, including firm age, which might also influence stability.</w:t>
      </w:r>
    </w:p>
    <w:p w14:paraId="0D0A961A" w14:textId="1FD614D0" w:rsidR="00364DD6" w:rsidRDefault="00364DD6" w:rsidP="004034BD">
      <w:pPr>
        <w:rPr>
          <w:rFonts w:ascii="Times New Roman" w:hAnsi="Times New Roman" w:cs="Times New Roman"/>
          <w:sz w:val="24"/>
          <w:szCs w:val="24"/>
          <w:lang w:val="en-US"/>
        </w:rPr>
      </w:pPr>
      <w:r>
        <w:rPr>
          <w:rFonts w:ascii="Times New Roman" w:hAnsi="Times New Roman" w:cs="Times New Roman"/>
          <w:sz w:val="24"/>
          <w:szCs w:val="24"/>
          <w:lang w:val="en-US"/>
        </w:rPr>
        <w:t>The propensity score match</w:t>
      </w:r>
      <w:r w:rsidR="00D563EC">
        <w:rPr>
          <w:rFonts w:ascii="Times New Roman" w:hAnsi="Times New Roman" w:cs="Times New Roman"/>
          <w:sz w:val="24"/>
          <w:szCs w:val="24"/>
          <w:lang w:val="en-US"/>
        </w:rPr>
        <w:t xml:space="preserve">ed results generally come </w:t>
      </w:r>
      <w:r>
        <w:rPr>
          <w:rFonts w:ascii="Times New Roman" w:hAnsi="Times New Roman" w:cs="Times New Roman"/>
          <w:sz w:val="24"/>
          <w:szCs w:val="24"/>
          <w:lang w:val="en-US"/>
        </w:rPr>
        <w:t>out with the same sign</w:t>
      </w:r>
      <w:r w:rsidR="00D563EC">
        <w:rPr>
          <w:rFonts w:ascii="Times New Roman" w:hAnsi="Times New Roman" w:cs="Times New Roman"/>
          <w:sz w:val="24"/>
          <w:szCs w:val="24"/>
          <w:lang w:val="en-US"/>
        </w:rPr>
        <w:t xml:space="preserve"> as the population level data, but the results are less pronounced and less significant. This casts some doubt on the general </w:t>
      </w:r>
      <w:r w:rsidR="00D563EC">
        <w:rPr>
          <w:rFonts w:ascii="Times New Roman" w:hAnsi="Times New Roman" w:cs="Times New Roman"/>
          <w:sz w:val="24"/>
          <w:szCs w:val="24"/>
          <w:lang w:val="en-US"/>
        </w:rPr>
        <w:lastRenderedPageBreak/>
        <w:t xml:space="preserve">findings, but propensity score matching is also in itself subject to doubts and uncertainties. Casual inspection of the matched companies left the authors with some skepticism concerning its relevance. In particular, give the Danish business </w:t>
      </w:r>
      <w:proofErr w:type="gramStart"/>
      <w:r w:rsidR="00D563EC">
        <w:rPr>
          <w:rFonts w:ascii="Times New Roman" w:hAnsi="Times New Roman" w:cs="Times New Roman"/>
          <w:sz w:val="24"/>
          <w:szCs w:val="24"/>
          <w:lang w:val="en-US"/>
        </w:rPr>
        <w:t>environment,</w:t>
      </w:r>
      <w:proofErr w:type="gramEnd"/>
      <w:r w:rsidR="00D563EC">
        <w:rPr>
          <w:rFonts w:ascii="Times New Roman" w:hAnsi="Times New Roman" w:cs="Times New Roman"/>
          <w:sz w:val="24"/>
          <w:szCs w:val="24"/>
          <w:lang w:val="en-US"/>
        </w:rPr>
        <w:t xml:space="preserve"> it is difficult to find relevant matches within the same industry.</w:t>
      </w:r>
      <w:r w:rsidR="00723779" w:rsidRPr="00723779">
        <w:rPr>
          <w:lang w:val="en-US"/>
        </w:rPr>
        <w:t xml:space="preserve"> </w:t>
      </w:r>
      <w:r w:rsidR="00723779" w:rsidRPr="003835D8">
        <w:rPr>
          <w:rFonts w:ascii="Times New Roman" w:hAnsi="Times New Roman" w:cs="Times New Roman"/>
          <w:sz w:val="24"/>
          <w:szCs w:val="24"/>
          <w:lang w:val="en-US"/>
        </w:rPr>
        <w:t>Moreover, we</w:t>
      </w:r>
      <w:r w:rsidR="00723779" w:rsidRPr="00723779">
        <w:rPr>
          <w:rFonts w:ascii="Times New Roman" w:hAnsi="Times New Roman" w:cs="Times New Roman"/>
          <w:sz w:val="24"/>
          <w:szCs w:val="24"/>
          <w:lang w:val="en-US"/>
        </w:rPr>
        <w:t xml:space="preserve"> set the matching criterion to 5 digits, which increases the validity of the matching, but decreases the number of observations.</w:t>
      </w:r>
    </w:p>
    <w:p w14:paraId="24EDEE91" w14:textId="6F453827" w:rsidR="00D563EC" w:rsidRDefault="00D563EC" w:rsidP="004034BD">
      <w:pPr>
        <w:rPr>
          <w:rFonts w:ascii="Times New Roman" w:hAnsi="Times New Roman" w:cs="Times New Roman"/>
          <w:sz w:val="24"/>
          <w:szCs w:val="24"/>
          <w:lang w:val="en-US"/>
        </w:rPr>
      </w:pPr>
      <w:r>
        <w:rPr>
          <w:rFonts w:ascii="Times New Roman" w:hAnsi="Times New Roman" w:cs="Times New Roman"/>
          <w:sz w:val="24"/>
          <w:szCs w:val="24"/>
          <w:lang w:val="en-US"/>
        </w:rPr>
        <w:t xml:space="preserve">One interpretation of this greater ownership may be that foundations are more tenacious (long term) </w:t>
      </w:r>
      <w:r w:rsidR="00723779">
        <w:rPr>
          <w:rFonts w:ascii="Times New Roman" w:hAnsi="Times New Roman" w:cs="Times New Roman"/>
          <w:sz w:val="24"/>
          <w:szCs w:val="24"/>
          <w:lang w:val="en-US"/>
        </w:rPr>
        <w:t>owners, but firm exit is an additional and important source of instability since exiting firms in this sample also leads to a change of ownership. Since we know from the previous analysis that foundation-owned companies live longer, this may be also be a cause of owner stability.</w:t>
      </w:r>
    </w:p>
    <w:p w14:paraId="7E1F08F7" w14:textId="77777777" w:rsidR="003835D8" w:rsidRPr="00364DD6" w:rsidRDefault="003835D8" w:rsidP="004034BD">
      <w:pPr>
        <w:rPr>
          <w:rFonts w:ascii="Times New Roman" w:hAnsi="Times New Roman" w:cs="Times New Roman"/>
          <w:sz w:val="24"/>
          <w:szCs w:val="24"/>
          <w:lang w:val="en-US"/>
        </w:rPr>
      </w:pPr>
    </w:p>
    <w:p w14:paraId="7EEC7678" w14:textId="77777777" w:rsidR="004034BD" w:rsidRPr="003835D8" w:rsidRDefault="004034BD" w:rsidP="004034BD">
      <w:pPr>
        <w:rPr>
          <w:rFonts w:ascii="Times New Roman" w:hAnsi="Times New Roman" w:cs="Times New Roman"/>
          <w:b/>
          <w:sz w:val="24"/>
          <w:szCs w:val="24"/>
          <w:lang w:val="en-US"/>
        </w:rPr>
      </w:pPr>
      <w:r w:rsidRPr="003835D8">
        <w:rPr>
          <w:rFonts w:ascii="Times New Roman" w:hAnsi="Times New Roman" w:cs="Times New Roman"/>
          <w:b/>
          <w:sz w:val="24"/>
          <w:szCs w:val="24"/>
          <w:lang w:val="en-US"/>
        </w:rPr>
        <w:t>Capital structure</w:t>
      </w:r>
    </w:p>
    <w:p w14:paraId="4C7C4614" w14:textId="7DFEFDC6" w:rsidR="00695B44" w:rsidRPr="00695B44" w:rsidRDefault="003835D8" w:rsidP="00695B4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Table</w:t>
      </w:r>
      <w:r w:rsidR="00695B44" w:rsidRPr="00695B44">
        <w:rPr>
          <w:rFonts w:ascii="Times New Roman" w:hAnsi="Times New Roman" w:cs="Times New Roman"/>
          <w:sz w:val="24"/>
          <w:szCs w:val="24"/>
          <w:lang w:val="en-US"/>
        </w:rPr>
        <w:t xml:space="preserve"> 3 report</w:t>
      </w:r>
      <w:r>
        <w:rPr>
          <w:rFonts w:ascii="Times New Roman" w:hAnsi="Times New Roman" w:cs="Times New Roman"/>
          <w:sz w:val="24"/>
          <w:szCs w:val="24"/>
          <w:lang w:val="en-US"/>
        </w:rPr>
        <w:t>s</w:t>
      </w:r>
      <w:r w:rsidR="00695B44" w:rsidRPr="00695B44">
        <w:rPr>
          <w:rFonts w:ascii="Times New Roman" w:hAnsi="Times New Roman" w:cs="Times New Roman"/>
          <w:sz w:val="24"/>
          <w:szCs w:val="24"/>
          <w:lang w:val="en-US"/>
        </w:rPr>
        <w:t xml:space="preserve"> the results from testing these empirical implications on three different data sets: all firms, firms with 100 or more employees, and propensity score matched firms. The depth of committed capital is simply measured as the debt-equity ratio. We find that foundation-owned firms have significantly more equity than other firms in all samples. The ratio is on average 9-15 basis point lower. Since the former firms are larger than the latter, it follows that more capital is committed also in absolute terms. </w:t>
      </w:r>
    </w:p>
    <w:p w14:paraId="4F529F1D" w14:textId="77777777" w:rsidR="00695B44" w:rsidRPr="00695B44" w:rsidRDefault="00695B44" w:rsidP="00695B44">
      <w:pPr>
        <w:jc w:val="both"/>
        <w:rPr>
          <w:rFonts w:ascii="Times New Roman" w:hAnsi="Times New Roman" w:cs="Times New Roman"/>
          <w:b/>
          <w:sz w:val="24"/>
          <w:szCs w:val="24"/>
          <w:lang w:val="en-US"/>
        </w:rPr>
      </w:pPr>
    </w:p>
    <w:p w14:paraId="2FAEED35" w14:textId="3D5E2BAC" w:rsidR="00695B44" w:rsidRPr="00695B44" w:rsidRDefault="00723779" w:rsidP="00695B44">
      <w:pPr>
        <w:jc w:val="both"/>
        <w:rPr>
          <w:rFonts w:ascii="Times New Roman" w:hAnsi="Times New Roman" w:cs="Times New Roman"/>
          <w:b/>
          <w:sz w:val="24"/>
          <w:szCs w:val="24"/>
        </w:rPr>
      </w:pP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 xml:space="preserve"> 3</w:t>
      </w:r>
      <w:r w:rsidR="00695B44" w:rsidRPr="00695B44">
        <w:rPr>
          <w:rFonts w:ascii="Times New Roman" w:hAnsi="Times New Roman" w:cs="Times New Roman"/>
          <w:b/>
          <w:sz w:val="24"/>
          <w:szCs w:val="24"/>
        </w:rPr>
        <w:t xml:space="preserve">. </w:t>
      </w:r>
      <w:proofErr w:type="spellStart"/>
      <w:r w:rsidR="00695B44" w:rsidRPr="00695B44">
        <w:rPr>
          <w:rFonts w:ascii="Times New Roman" w:hAnsi="Times New Roman" w:cs="Times New Roman"/>
          <w:b/>
          <w:sz w:val="24"/>
          <w:szCs w:val="24"/>
        </w:rPr>
        <w:t>Commitment</w:t>
      </w:r>
      <w:proofErr w:type="spellEnd"/>
      <w:r w:rsidR="00695B44" w:rsidRPr="00695B44">
        <w:rPr>
          <w:rFonts w:ascii="Times New Roman" w:hAnsi="Times New Roman" w:cs="Times New Roman"/>
          <w:b/>
          <w:sz w:val="24"/>
          <w:szCs w:val="24"/>
        </w:rPr>
        <w:t xml:space="preserve"> of </w:t>
      </w:r>
      <w:proofErr w:type="spellStart"/>
      <w:r w:rsidR="00695B44" w:rsidRPr="00695B44">
        <w:rPr>
          <w:rFonts w:ascii="Times New Roman" w:hAnsi="Times New Roman" w:cs="Times New Roman"/>
          <w:b/>
          <w:sz w:val="24"/>
          <w:szCs w:val="24"/>
        </w:rPr>
        <w:t>capital</w:t>
      </w:r>
      <w:proofErr w:type="spellEnd"/>
      <w:r w:rsidR="00695B44" w:rsidRPr="00695B44">
        <w:rPr>
          <w:rFonts w:ascii="Times New Roman" w:hAnsi="Times New Roman" w:cs="Times New Roman"/>
          <w:b/>
          <w:sz w:val="24"/>
          <w:szCs w:val="24"/>
        </w:rPr>
        <w:t>.</w:t>
      </w:r>
    </w:p>
    <w:tbl>
      <w:tblPr>
        <w:tblStyle w:val="TableGrid1"/>
        <w:tblW w:w="9464" w:type="dxa"/>
        <w:tblLook w:val="04A0" w:firstRow="1" w:lastRow="0" w:firstColumn="1" w:lastColumn="0" w:noHBand="0" w:noVBand="1"/>
      </w:tblPr>
      <w:tblGrid>
        <w:gridCol w:w="3605"/>
        <w:gridCol w:w="2185"/>
        <w:gridCol w:w="2186"/>
        <w:gridCol w:w="1488"/>
      </w:tblGrid>
      <w:tr w:rsidR="00695B44" w:rsidRPr="00695B44" w14:paraId="524001F3" w14:textId="77777777" w:rsidTr="00307A37">
        <w:tc>
          <w:tcPr>
            <w:tcW w:w="3605" w:type="dxa"/>
          </w:tcPr>
          <w:p w14:paraId="64CEE3A4" w14:textId="77777777" w:rsidR="00695B44" w:rsidRPr="00695B44" w:rsidRDefault="00695B44" w:rsidP="00695B44">
            <w:pPr>
              <w:spacing w:after="200" w:line="276" w:lineRule="auto"/>
              <w:rPr>
                <w:rFonts w:asciiTheme="minorHAnsi" w:hAnsiTheme="minorHAnsi" w:cs="Times New Roman"/>
                <w:b/>
                <w:sz w:val="22"/>
                <w:szCs w:val="24"/>
                <w:lang w:val="da-DK"/>
              </w:rPr>
            </w:pPr>
          </w:p>
        </w:tc>
        <w:tc>
          <w:tcPr>
            <w:tcW w:w="2185" w:type="dxa"/>
          </w:tcPr>
          <w:p w14:paraId="6FFFFF2A" w14:textId="77777777" w:rsidR="00695B44" w:rsidRPr="00695B44" w:rsidRDefault="00695B44" w:rsidP="00695B44">
            <w:pPr>
              <w:spacing w:after="200" w:line="276" w:lineRule="auto"/>
              <w:jc w:val="center"/>
              <w:rPr>
                <w:rFonts w:asciiTheme="minorHAnsi" w:hAnsiTheme="minorHAnsi" w:cs="Times New Roman"/>
                <w:b/>
                <w:sz w:val="22"/>
                <w:szCs w:val="24"/>
                <w:lang w:val="da-DK"/>
              </w:rPr>
            </w:pPr>
            <w:r w:rsidRPr="00695B44">
              <w:rPr>
                <w:rFonts w:asciiTheme="minorHAnsi" w:hAnsiTheme="minorHAnsi" w:cs="Times New Roman"/>
                <w:b/>
                <w:sz w:val="22"/>
                <w:szCs w:val="24"/>
                <w:lang w:val="da-DK"/>
              </w:rPr>
              <w:t>Foundation-</w:t>
            </w:r>
            <w:proofErr w:type="spellStart"/>
            <w:r w:rsidRPr="00695B44">
              <w:rPr>
                <w:rFonts w:asciiTheme="minorHAnsi" w:hAnsiTheme="minorHAnsi" w:cs="Times New Roman"/>
                <w:b/>
                <w:sz w:val="22"/>
                <w:szCs w:val="24"/>
                <w:lang w:val="da-DK"/>
              </w:rPr>
              <w:t>owned</w:t>
            </w:r>
            <w:proofErr w:type="spellEnd"/>
          </w:p>
        </w:tc>
        <w:tc>
          <w:tcPr>
            <w:tcW w:w="2186" w:type="dxa"/>
          </w:tcPr>
          <w:p w14:paraId="4AECE060" w14:textId="77777777" w:rsidR="00695B44" w:rsidRPr="00695B44" w:rsidRDefault="00695B44" w:rsidP="00695B44">
            <w:pPr>
              <w:spacing w:after="200" w:line="276" w:lineRule="auto"/>
              <w:jc w:val="center"/>
              <w:rPr>
                <w:rFonts w:asciiTheme="minorHAnsi" w:hAnsiTheme="minorHAnsi" w:cs="Times New Roman"/>
                <w:b/>
                <w:sz w:val="22"/>
                <w:szCs w:val="24"/>
                <w:lang w:val="da-DK"/>
              </w:rPr>
            </w:pPr>
            <w:proofErr w:type="spellStart"/>
            <w:r w:rsidRPr="00695B44">
              <w:rPr>
                <w:rFonts w:asciiTheme="minorHAnsi" w:hAnsiTheme="minorHAnsi" w:cs="Times New Roman"/>
                <w:b/>
                <w:sz w:val="22"/>
                <w:szCs w:val="24"/>
                <w:lang w:val="da-DK"/>
              </w:rPr>
              <w:t>Other</w:t>
            </w:r>
            <w:proofErr w:type="spellEnd"/>
            <w:r w:rsidRPr="00695B44">
              <w:rPr>
                <w:rFonts w:asciiTheme="minorHAnsi" w:hAnsiTheme="minorHAnsi" w:cs="Times New Roman"/>
                <w:b/>
                <w:sz w:val="22"/>
                <w:szCs w:val="24"/>
                <w:lang w:val="da-DK"/>
              </w:rPr>
              <w:t xml:space="preserve"> </w:t>
            </w:r>
            <w:proofErr w:type="spellStart"/>
            <w:r w:rsidRPr="00695B44">
              <w:rPr>
                <w:rFonts w:asciiTheme="minorHAnsi" w:hAnsiTheme="minorHAnsi" w:cs="Times New Roman"/>
                <w:b/>
                <w:sz w:val="22"/>
                <w:szCs w:val="24"/>
                <w:lang w:val="da-DK"/>
              </w:rPr>
              <w:t>firms</w:t>
            </w:r>
            <w:proofErr w:type="spellEnd"/>
          </w:p>
        </w:tc>
        <w:tc>
          <w:tcPr>
            <w:tcW w:w="1488" w:type="dxa"/>
          </w:tcPr>
          <w:p w14:paraId="7C688EED" w14:textId="77777777" w:rsidR="00695B44" w:rsidRPr="00695B44" w:rsidRDefault="00695B44" w:rsidP="00695B44">
            <w:pPr>
              <w:spacing w:after="200" w:line="276" w:lineRule="auto"/>
              <w:jc w:val="center"/>
              <w:rPr>
                <w:rFonts w:asciiTheme="minorHAnsi" w:hAnsiTheme="minorHAnsi" w:cs="Times New Roman"/>
                <w:b/>
                <w:sz w:val="22"/>
                <w:szCs w:val="24"/>
                <w:lang w:val="da-DK"/>
              </w:rPr>
            </w:pPr>
            <w:r w:rsidRPr="00695B44">
              <w:rPr>
                <w:rFonts w:asciiTheme="minorHAnsi" w:hAnsiTheme="minorHAnsi" w:cs="Times New Roman"/>
                <w:b/>
                <w:sz w:val="22"/>
                <w:szCs w:val="24"/>
                <w:lang w:val="da-DK"/>
              </w:rPr>
              <w:t>T-test</w:t>
            </w:r>
          </w:p>
        </w:tc>
      </w:tr>
      <w:tr w:rsidR="00695B44" w:rsidRPr="00695B44" w14:paraId="1987E9B3" w14:textId="77777777" w:rsidTr="00307A37">
        <w:tc>
          <w:tcPr>
            <w:tcW w:w="3605" w:type="dxa"/>
          </w:tcPr>
          <w:p w14:paraId="7C9797AC" w14:textId="77777777" w:rsidR="00695B44" w:rsidRPr="00695B44" w:rsidRDefault="00695B44" w:rsidP="00695B44">
            <w:pPr>
              <w:spacing w:after="200" w:line="276" w:lineRule="auto"/>
              <w:rPr>
                <w:rFonts w:asciiTheme="minorHAnsi" w:hAnsiTheme="minorHAnsi" w:cs="Times New Roman"/>
                <w:sz w:val="22"/>
                <w:szCs w:val="24"/>
                <w:lang w:val="da-DK"/>
              </w:rPr>
            </w:pPr>
            <w:r w:rsidRPr="00695B44">
              <w:rPr>
                <w:rFonts w:asciiTheme="minorHAnsi" w:hAnsiTheme="minorHAnsi" w:cs="Times New Roman"/>
                <w:sz w:val="22"/>
                <w:szCs w:val="24"/>
                <w:lang w:val="da-DK"/>
              </w:rPr>
              <w:t xml:space="preserve">All </w:t>
            </w:r>
            <w:proofErr w:type="spellStart"/>
            <w:r w:rsidRPr="00695B44">
              <w:rPr>
                <w:rFonts w:asciiTheme="minorHAnsi" w:hAnsiTheme="minorHAnsi" w:cs="Times New Roman"/>
                <w:sz w:val="22"/>
                <w:szCs w:val="24"/>
                <w:lang w:val="da-DK"/>
              </w:rPr>
              <w:t>firms</w:t>
            </w:r>
            <w:proofErr w:type="spellEnd"/>
          </w:p>
        </w:tc>
        <w:tc>
          <w:tcPr>
            <w:tcW w:w="2185" w:type="dxa"/>
          </w:tcPr>
          <w:p w14:paraId="5EA29DDD" w14:textId="77777777" w:rsidR="00695B44" w:rsidRPr="00695B44" w:rsidRDefault="00695B44" w:rsidP="00695B44">
            <w:pPr>
              <w:spacing w:after="200" w:line="276" w:lineRule="auto"/>
              <w:jc w:val="right"/>
              <w:rPr>
                <w:rFonts w:asciiTheme="minorHAnsi" w:hAnsiTheme="minorHAnsi" w:cs="Times New Roman"/>
                <w:sz w:val="22"/>
                <w:szCs w:val="24"/>
                <w:lang w:val="da-DK"/>
              </w:rPr>
            </w:pPr>
            <w:r w:rsidRPr="00695B44">
              <w:rPr>
                <w:rFonts w:asciiTheme="minorHAnsi" w:hAnsiTheme="minorHAnsi" w:cs="Times New Roman"/>
                <w:sz w:val="22"/>
                <w:szCs w:val="24"/>
                <w:lang w:val="da-DK"/>
              </w:rPr>
              <w:t>0.46</w:t>
            </w:r>
          </w:p>
        </w:tc>
        <w:tc>
          <w:tcPr>
            <w:tcW w:w="2186" w:type="dxa"/>
          </w:tcPr>
          <w:p w14:paraId="1F8F1535" w14:textId="77777777" w:rsidR="00695B44" w:rsidRPr="00695B44" w:rsidRDefault="00695B44" w:rsidP="00695B44">
            <w:pPr>
              <w:spacing w:after="200" w:line="276" w:lineRule="auto"/>
              <w:jc w:val="right"/>
              <w:rPr>
                <w:rFonts w:asciiTheme="minorHAnsi" w:hAnsiTheme="minorHAnsi" w:cs="Times New Roman"/>
                <w:sz w:val="22"/>
                <w:szCs w:val="24"/>
                <w:lang w:val="da-DK"/>
              </w:rPr>
            </w:pPr>
            <w:r w:rsidRPr="00695B44">
              <w:rPr>
                <w:rFonts w:asciiTheme="minorHAnsi" w:hAnsiTheme="minorHAnsi" w:cs="Times New Roman"/>
                <w:sz w:val="22"/>
                <w:szCs w:val="24"/>
                <w:lang w:val="da-DK"/>
              </w:rPr>
              <w:t>0.56</w:t>
            </w:r>
          </w:p>
        </w:tc>
        <w:tc>
          <w:tcPr>
            <w:tcW w:w="1488" w:type="dxa"/>
          </w:tcPr>
          <w:p w14:paraId="4F2D57A3" w14:textId="77777777" w:rsidR="00695B44" w:rsidRPr="00695B44" w:rsidRDefault="00695B44" w:rsidP="00695B44">
            <w:pPr>
              <w:spacing w:after="200" w:line="276" w:lineRule="auto"/>
              <w:jc w:val="right"/>
              <w:rPr>
                <w:rFonts w:asciiTheme="minorHAnsi" w:hAnsiTheme="minorHAnsi" w:cs="Times New Roman"/>
                <w:sz w:val="22"/>
                <w:szCs w:val="24"/>
                <w:lang w:val="da-DK"/>
              </w:rPr>
            </w:pPr>
            <w:r w:rsidRPr="00695B44">
              <w:rPr>
                <w:rFonts w:asciiTheme="minorHAnsi" w:hAnsiTheme="minorHAnsi" w:cs="Times New Roman"/>
                <w:sz w:val="22"/>
                <w:szCs w:val="24"/>
                <w:lang w:val="da-DK"/>
              </w:rPr>
              <w:t>-4.55***</w:t>
            </w:r>
          </w:p>
        </w:tc>
      </w:tr>
      <w:tr w:rsidR="00695B44" w:rsidRPr="00695B44" w14:paraId="566D2C6C" w14:textId="77777777" w:rsidTr="00307A37">
        <w:tc>
          <w:tcPr>
            <w:tcW w:w="3605" w:type="dxa"/>
          </w:tcPr>
          <w:p w14:paraId="0E1D3792" w14:textId="77777777" w:rsidR="00695B44" w:rsidRPr="00695B44" w:rsidRDefault="00695B44" w:rsidP="00695B44">
            <w:pPr>
              <w:spacing w:after="200" w:line="276" w:lineRule="auto"/>
              <w:rPr>
                <w:rFonts w:asciiTheme="minorHAnsi" w:hAnsiTheme="minorHAnsi" w:cs="Times New Roman"/>
                <w:sz w:val="22"/>
                <w:szCs w:val="24"/>
              </w:rPr>
            </w:pPr>
            <w:r w:rsidRPr="00695B44">
              <w:rPr>
                <w:rFonts w:asciiTheme="minorHAnsi" w:hAnsiTheme="minorHAnsi" w:cs="Times New Roman"/>
                <w:sz w:val="22"/>
                <w:szCs w:val="24"/>
              </w:rPr>
              <w:t>Firms with 100 or more employees</w:t>
            </w:r>
          </w:p>
        </w:tc>
        <w:tc>
          <w:tcPr>
            <w:tcW w:w="2185" w:type="dxa"/>
          </w:tcPr>
          <w:p w14:paraId="11E990B7" w14:textId="77777777" w:rsidR="00695B44" w:rsidRPr="00695B44" w:rsidRDefault="00695B44" w:rsidP="00695B44">
            <w:pPr>
              <w:spacing w:after="200" w:line="276" w:lineRule="auto"/>
              <w:jc w:val="right"/>
              <w:rPr>
                <w:rFonts w:asciiTheme="minorHAnsi" w:hAnsiTheme="minorHAnsi" w:cs="Times New Roman"/>
                <w:sz w:val="22"/>
                <w:szCs w:val="24"/>
                <w:lang w:val="da-DK"/>
              </w:rPr>
            </w:pPr>
            <w:r w:rsidRPr="00695B44">
              <w:rPr>
                <w:rFonts w:asciiTheme="minorHAnsi" w:hAnsiTheme="minorHAnsi" w:cs="Times New Roman"/>
                <w:sz w:val="22"/>
                <w:szCs w:val="24"/>
                <w:lang w:val="da-DK"/>
              </w:rPr>
              <w:t>0.46</w:t>
            </w:r>
          </w:p>
        </w:tc>
        <w:tc>
          <w:tcPr>
            <w:tcW w:w="2186" w:type="dxa"/>
          </w:tcPr>
          <w:p w14:paraId="48618A8E" w14:textId="77777777" w:rsidR="00695B44" w:rsidRPr="00695B44" w:rsidRDefault="00695B44" w:rsidP="00695B44">
            <w:pPr>
              <w:spacing w:after="200" w:line="276" w:lineRule="auto"/>
              <w:jc w:val="right"/>
              <w:rPr>
                <w:rFonts w:asciiTheme="minorHAnsi" w:hAnsiTheme="minorHAnsi" w:cs="Times New Roman"/>
                <w:sz w:val="22"/>
                <w:szCs w:val="24"/>
                <w:lang w:val="da-DK"/>
              </w:rPr>
            </w:pPr>
            <w:r w:rsidRPr="00695B44">
              <w:rPr>
                <w:rFonts w:asciiTheme="minorHAnsi" w:hAnsiTheme="minorHAnsi" w:cs="Times New Roman"/>
                <w:sz w:val="22"/>
                <w:szCs w:val="24"/>
                <w:lang w:val="da-DK"/>
              </w:rPr>
              <w:t>0.55</w:t>
            </w:r>
          </w:p>
        </w:tc>
        <w:tc>
          <w:tcPr>
            <w:tcW w:w="1488" w:type="dxa"/>
          </w:tcPr>
          <w:p w14:paraId="610D4DC3" w14:textId="77777777" w:rsidR="00695B44" w:rsidRPr="00695B44" w:rsidRDefault="00695B44" w:rsidP="00695B44">
            <w:pPr>
              <w:spacing w:after="200" w:line="276" w:lineRule="auto"/>
              <w:jc w:val="right"/>
              <w:rPr>
                <w:rFonts w:asciiTheme="minorHAnsi" w:hAnsiTheme="minorHAnsi" w:cs="Times New Roman"/>
                <w:sz w:val="22"/>
                <w:szCs w:val="24"/>
                <w:lang w:val="da-DK"/>
              </w:rPr>
            </w:pPr>
            <w:r w:rsidRPr="00695B44">
              <w:rPr>
                <w:rFonts w:asciiTheme="minorHAnsi" w:hAnsiTheme="minorHAnsi" w:cs="Times New Roman"/>
                <w:sz w:val="22"/>
                <w:szCs w:val="24"/>
                <w:lang w:val="da-DK"/>
              </w:rPr>
              <w:t>-3.45***</w:t>
            </w:r>
          </w:p>
        </w:tc>
      </w:tr>
      <w:tr w:rsidR="00695B44" w:rsidRPr="00695B44" w14:paraId="29B7C335" w14:textId="77777777" w:rsidTr="00307A37">
        <w:tc>
          <w:tcPr>
            <w:tcW w:w="3605" w:type="dxa"/>
          </w:tcPr>
          <w:p w14:paraId="354E0B5E" w14:textId="77777777" w:rsidR="00695B44" w:rsidRPr="00695B44" w:rsidRDefault="00695B44" w:rsidP="00695B44">
            <w:pPr>
              <w:spacing w:after="200" w:line="276" w:lineRule="auto"/>
              <w:rPr>
                <w:rFonts w:asciiTheme="minorHAnsi" w:hAnsiTheme="minorHAnsi" w:cs="Times New Roman"/>
                <w:sz w:val="22"/>
                <w:szCs w:val="24"/>
                <w:lang w:val="da-DK"/>
              </w:rPr>
            </w:pPr>
            <w:proofErr w:type="spellStart"/>
            <w:r w:rsidRPr="00695B44">
              <w:rPr>
                <w:rFonts w:asciiTheme="minorHAnsi" w:hAnsiTheme="minorHAnsi" w:cs="Times New Roman"/>
                <w:sz w:val="22"/>
                <w:szCs w:val="24"/>
                <w:lang w:val="da-DK"/>
              </w:rPr>
              <w:t>Propensity</w:t>
            </w:r>
            <w:proofErr w:type="spellEnd"/>
            <w:r w:rsidRPr="00695B44">
              <w:rPr>
                <w:rFonts w:asciiTheme="minorHAnsi" w:hAnsiTheme="minorHAnsi" w:cs="Times New Roman"/>
                <w:sz w:val="22"/>
                <w:szCs w:val="24"/>
                <w:lang w:val="da-DK"/>
              </w:rPr>
              <w:t xml:space="preserve"> score </w:t>
            </w:r>
            <w:proofErr w:type="spellStart"/>
            <w:r w:rsidRPr="00695B44">
              <w:rPr>
                <w:rFonts w:asciiTheme="minorHAnsi" w:hAnsiTheme="minorHAnsi" w:cs="Times New Roman"/>
                <w:sz w:val="22"/>
                <w:szCs w:val="24"/>
                <w:lang w:val="da-DK"/>
              </w:rPr>
              <w:t>matched</w:t>
            </w:r>
            <w:proofErr w:type="spellEnd"/>
            <w:r w:rsidRPr="00695B44">
              <w:rPr>
                <w:rFonts w:asciiTheme="minorHAnsi" w:hAnsiTheme="minorHAnsi" w:cs="Times New Roman"/>
                <w:sz w:val="22"/>
                <w:szCs w:val="24"/>
                <w:lang w:val="da-DK"/>
              </w:rPr>
              <w:t xml:space="preserve"> </w:t>
            </w:r>
            <w:proofErr w:type="spellStart"/>
            <w:r w:rsidRPr="00695B44">
              <w:rPr>
                <w:rFonts w:asciiTheme="minorHAnsi" w:hAnsiTheme="minorHAnsi" w:cs="Times New Roman"/>
                <w:sz w:val="22"/>
                <w:szCs w:val="24"/>
                <w:lang w:val="da-DK"/>
              </w:rPr>
              <w:t>firms</w:t>
            </w:r>
            <w:proofErr w:type="spellEnd"/>
          </w:p>
        </w:tc>
        <w:tc>
          <w:tcPr>
            <w:tcW w:w="2185" w:type="dxa"/>
          </w:tcPr>
          <w:p w14:paraId="0E16F0B7" w14:textId="77777777" w:rsidR="00695B44" w:rsidRPr="00695B44" w:rsidRDefault="00695B44" w:rsidP="00695B44">
            <w:pPr>
              <w:spacing w:after="200" w:line="276" w:lineRule="auto"/>
              <w:jc w:val="right"/>
              <w:rPr>
                <w:rFonts w:asciiTheme="minorHAnsi" w:hAnsiTheme="minorHAnsi" w:cs="Times New Roman"/>
                <w:sz w:val="22"/>
                <w:szCs w:val="24"/>
                <w:lang w:val="da-DK"/>
              </w:rPr>
            </w:pPr>
            <w:r w:rsidRPr="00695B44">
              <w:rPr>
                <w:rFonts w:asciiTheme="minorHAnsi" w:hAnsiTheme="minorHAnsi" w:cs="Times New Roman"/>
                <w:sz w:val="22"/>
                <w:szCs w:val="24"/>
                <w:lang w:val="da-DK"/>
              </w:rPr>
              <w:t>0.46</w:t>
            </w:r>
          </w:p>
        </w:tc>
        <w:tc>
          <w:tcPr>
            <w:tcW w:w="2186" w:type="dxa"/>
          </w:tcPr>
          <w:p w14:paraId="211D4E9C" w14:textId="77777777" w:rsidR="00695B44" w:rsidRPr="00695B44" w:rsidRDefault="00695B44" w:rsidP="00695B44">
            <w:pPr>
              <w:spacing w:after="200" w:line="276" w:lineRule="auto"/>
              <w:jc w:val="right"/>
              <w:rPr>
                <w:rFonts w:asciiTheme="minorHAnsi" w:hAnsiTheme="minorHAnsi" w:cs="Times New Roman"/>
                <w:sz w:val="22"/>
                <w:szCs w:val="24"/>
                <w:lang w:val="da-DK"/>
              </w:rPr>
            </w:pPr>
            <w:proofErr w:type="gramStart"/>
            <w:r w:rsidRPr="00695B44">
              <w:rPr>
                <w:rFonts w:asciiTheme="minorHAnsi" w:hAnsiTheme="minorHAnsi" w:cs="Times New Roman"/>
                <w:sz w:val="22"/>
                <w:szCs w:val="24"/>
                <w:lang w:val="da-DK"/>
              </w:rPr>
              <w:t>0.61</w:t>
            </w:r>
            <w:proofErr w:type="gramEnd"/>
          </w:p>
        </w:tc>
        <w:tc>
          <w:tcPr>
            <w:tcW w:w="1488" w:type="dxa"/>
          </w:tcPr>
          <w:p w14:paraId="7C5D7E00" w14:textId="77777777" w:rsidR="00695B44" w:rsidRPr="00695B44" w:rsidRDefault="00695B44" w:rsidP="00695B44">
            <w:pPr>
              <w:spacing w:after="200" w:line="276" w:lineRule="auto"/>
              <w:jc w:val="right"/>
              <w:rPr>
                <w:rFonts w:asciiTheme="minorHAnsi" w:hAnsiTheme="minorHAnsi" w:cs="Times New Roman"/>
                <w:sz w:val="22"/>
                <w:szCs w:val="24"/>
                <w:lang w:val="da-DK"/>
              </w:rPr>
            </w:pPr>
            <w:r w:rsidRPr="00695B44">
              <w:rPr>
                <w:rFonts w:asciiTheme="minorHAnsi" w:hAnsiTheme="minorHAnsi" w:cs="Times New Roman"/>
                <w:sz w:val="22"/>
                <w:szCs w:val="24"/>
                <w:lang w:val="da-DK"/>
              </w:rPr>
              <w:t>-6.72***</w:t>
            </w:r>
          </w:p>
        </w:tc>
      </w:tr>
    </w:tbl>
    <w:p w14:paraId="09C88FD0" w14:textId="77777777" w:rsidR="00695B44" w:rsidRPr="00695B44" w:rsidRDefault="00695B44" w:rsidP="00695B44">
      <w:pPr>
        <w:rPr>
          <w:rFonts w:ascii="Times New Roman" w:hAnsi="Times New Roman" w:cs="Times New Roman"/>
          <w:sz w:val="24"/>
          <w:szCs w:val="24"/>
        </w:rPr>
      </w:pPr>
    </w:p>
    <w:p w14:paraId="5089CCAF" w14:textId="792DE6DD" w:rsidR="004034BD" w:rsidRPr="006A6F93" w:rsidRDefault="00723779" w:rsidP="004034BD">
      <w:pPr>
        <w:jc w:val="both"/>
        <w:rPr>
          <w:rFonts w:ascii="Times New Roman" w:hAnsi="Times New Roman" w:cs="Times New Roman"/>
          <w:sz w:val="24"/>
          <w:szCs w:val="24"/>
          <w:lang w:val="en-US"/>
        </w:rPr>
      </w:pPr>
      <w:r>
        <w:rPr>
          <w:rFonts w:ascii="Times New Roman" w:hAnsi="Times New Roman" w:cs="Times New Roman"/>
          <w:sz w:val="24"/>
          <w:szCs w:val="24"/>
          <w:lang w:val="en-US"/>
        </w:rPr>
        <w:t>Thus, t</w:t>
      </w:r>
      <w:r w:rsidR="004034BD" w:rsidRPr="006A6F93">
        <w:rPr>
          <w:rFonts w:ascii="Times New Roman" w:hAnsi="Times New Roman" w:cs="Times New Roman"/>
          <w:sz w:val="24"/>
          <w:szCs w:val="24"/>
          <w:lang w:val="en-US"/>
        </w:rPr>
        <w:t xml:space="preserve">he </w:t>
      </w:r>
      <w:proofErr w:type="spellStart"/>
      <w:r w:rsidR="004034BD" w:rsidRPr="006A6F93">
        <w:rPr>
          <w:rFonts w:ascii="Times New Roman" w:hAnsi="Times New Roman" w:cs="Times New Roman"/>
          <w:sz w:val="24"/>
          <w:szCs w:val="24"/>
          <w:lang w:val="en-US"/>
        </w:rPr>
        <w:t>univariate</w:t>
      </w:r>
      <w:proofErr w:type="spellEnd"/>
      <w:r w:rsidR="004034BD" w:rsidRPr="006A6F93">
        <w:rPr>
          <w:rFonts w:ascii="Times New Roman" w:hAnsi="Times New Roman" w:cs="Times New Roman"/>
          <w:sz w:val="24"/>
          <w:szCs w:val="24"/>
          <w:lang w:val="en-US"/>
        </w:rPr>
        <w:t xml:space="preserve"> analysis of the debt-equity ratio showed that foundation-owned firms have less debt and more equity (less leveraged) compared to other firms. This analysis does not however take into account that foundation-owned firms may for example be overrepresented in low leveraged industries. This section therefore presents multivariate results on the capital structure. Dutta and </w:t>
      </w:r>
      <w:proofErr w:type="spellStart"/>
      <w:r w:rsidR="004034BD" w:rsidRPr="006A6F93">
        <w:rPr>
          <w:rFonts w:ascii="Times New Roman" w:hAnsi="Times New Roman" w:cs="Times New Roman"/>
          <w:sz w:val="24"/>
          <w:szCs w:val="24"/>
          <w:lang w:val="en-US"/>
        </w:rPr>
        <w:t>Radner</w:t>
      </w:r>
      <w:proofErr w:type="spellEnd"/>
      <w:r w:rsidR="004034BD" w:rsidRPr="006A6F93">
        <w:rPr>
          <w:rFonts w:ascii="Times New Roman" w:hAnsi="Times New Roman" w:cs="Times New Roman"/>
          <w:sz w:val="24"/>
          <w:szCs w:val="24"/>
          <w:lang w:val="en-US"/>
        </w:rPr>
        <w:t xml:space="preserve"> (1999) also argue that survival-maximizing firms will be less leveraged. </w:t>
      </w:r>
    </w:p>
    <w:p w14:paraId="062D5456" w14:textId="77777777" w:rsidR="003835D8" w:rsidRDefault="003835D8" w:rsidP="004034BD">
      <w:pPr>
        <w:jc w:val="both"/>
        <w:rPr>
          <w:rFonts w:ascii="Times New Roman" w:hAnsi="Times New Roman" w:cs="Times New Roman"/>
          <w:b/>
          <w:sz w:val="24"/>
          <w:szCs w:val="24"/>
          <w:lang w:val="en-US"/>
        </w:rPr>
      </w:pPr>
    </w:p>
    <w:p w14:paraId="3A5A97FB" w14:textId="77777777" w:rsidR="003835D8" w:rsidRDefault="003835D8" w:rsidP="004034BD">
      <w:pPr>
        <w:jc w:val="both"/>
        <w:rPr>
          <w:rFonts w:ascii="Times New Roman" w:hAnsi="Times New Roman" w:cs="Times New Roman"/>
          <w:b/>
          <w:sz w:val="24"/>
          <w:szCs w:val="24"/>
          <w:lang w:val="en-US"/>
        </w:rPr>
      </w:pPr>
    </w:p>
    <w:p w14:paraId="4085462F" w14:textId="77777777" w:rsidR="003835D8" w:rsidRDefault="003835D8" w:rsidP="004034BD">
      <w:pPr>
        <w:jc w:val="both"/>
        <w:rPr>
          <w:rFonts w:ascii="Times New Roman" w:hAnsi="Times New Roman" w:cs="Times New Roman"/>
          <w:b/>
          <w:sz w:val="24"/>
          <w:szCs w:val="24"/>
          <w:lang w:val="en-US"/>
        </w:rPr>
      </w:pPr>
    </w:p>
    <w:p w14:paraId="70EDC72D" w14:textId="7A2437C0" w:rsidR="004034BD" w:rsidRPr="004034BD" w:rsidRDefault="003835D8" w:rsidP="004034BD">
      <w:pPr>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T</w:t>
      </w:r>
      <w:r w:rsidR="004034BD" w:rsidRPr="004034BD">
        <w:rPr>
          <w:rFonts w:ascii="Times New Roman" w:hAnsi="Times New Roman" w:cs="Times New Roman"/>
          <w:b/>
          <w:sz w:val="24"/>
          <w:szCs w:val="24"/>
        </w:rPr>
        <w:t>able</w:t>
      </w:r>
      <w:proofErr w:type="spellEnd"/>
      <w:r w:rsidR="004034BD" w:rsidRPr="004034BD">
        <w:rPr>
          <w:rFonts w:ascii="Times New Roman" w:hAnsi="Times New Roman" w:cs="Times New Roman"/>
          <w:b/>
          <w:sz w:val="24"/>
          <w:szCs w:val="24"/>
        </w:rPr>
        <w:t xml:space="preserve"> 4. Capital structure.</w:t>
      </w:r>
    </w:p>
    <w:tbl>
      <w:tblPr>
        <w:tblW w:w="6702" w:type="dxa"/>
        <w:tblInd w:w="93" w:type="dxa"/>
        <w:tblLook w:val="04A0" w:firstRow="1" w:lastRow="0" w:firstColumn="1" w:lastColumn="0" w:noHBand="0" w:noVBand="1"/>
      </w:tblPr>
      <w:tblGrid>
        <w:gridCol w:w="2303"/>
        <w:gridCol w:w="1736"/>
        <w:gridCol w:w="2663"/>
      </w:tblGrid>
      <w:tr w:rsidR="004034BD" w:rsidRPr="004034BD" w14:paraId="0C54FBE7" w14:textId="77777777" w:rsidTr="005873BD">
        <w:trPr>
          <w:trHeight w:val="240"/>
        </w:trPr>
        <w:tc>
          <w:tcPr>
            <w:tcW w:w="2303" w:type="dxa"/>
            <w:tcBorders>
              <w:top w:val="single" w:sz="4" w:space="0" w:color="auto"/>
              <w:left w:val="nil"/>
              <w:bottom w:val="single" w:sz="4" w:space="0" w:color="auto"/>
              <w:right w:val="nil"/>
            </w:tcBorders>
            <w:shd w:val="clear" w:color="auto" w:fill="auto"/>
            <w:noWrap/>
            <w:vAlign w:val="bottom"/>
            <w:hideMark/>
          </w:tcPr>
          <w:p w14:paraId="6CFF0919"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 </w:t>
            </w:r>
          </w:p>
        </w:tc>
        <w:tc>
          <w:tcPr>
            <w:tcW w:w="1736" w:type="dxa"/>
            <w:tcBorders>
              <w:top w:val="single" w:sz="4" w:space="0" w:color="auto"/>
              <w:left w:val="nil"/>
              <w:bottom w:val="single" w:sz="4" w:space="0" w:color="auto"/>
              <w:right w:val="nil"/>
            </w:tcBorders>
            <w:shd w:val="clear" w:color="auto" w:fill="auto"/>
            <w:noWrap/>
            <w:vAlign w:val="bottom"/>
            <w:hideMark/>
          </w:tcPr>
          <w:p w14:paraId="0F0CF8C0"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(1)</w:t>
            </w:r>
          </w:p>
        </w:tc>
        <w:tc>
          <w:tcPr>
            <w:tcW w:w="2663" w:type="dxa"/>
            <w:tcBorders>
              <w:top w:val="single" w:sz="4" w:space="0" w:color="auto"/>
              <w:left w:val="nil"/>
              <w:bottom w:val="single" w:sz="4" w:space="0" w:color="auto"/>
              <w:right w:val="nil"/>
            </w:tcBorders>
            <w:shd w:val="clear" w:color="auto" w:fill="auto"/>
            <w:noWrap/>
            <w:vAlign w:val="bottom"/>
            <w:hideMark/>
          </w:tcPr>
          <w:p w14:paraId="7FAF8A2E"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(2)</w:t>
            </w:r>
          </w:p>
        </w:tc>
      </w:tr>
      <w:tr w:rsidR="004034BD" w:rsidRPr="004034BD" w14:paraId="5B6B6E7E" w14:textId="77777777" w:rsidTr="005873BD">
        <w:trPr>
          <w:trHeight w:val="240"/>
        </w:trPr>
        <w:tc>
          <w:tcPr>
            <w:tcW w:w="2303" w:type="dxa"/>
            <w:tcBorders>
              <w:top w:val="single" w:sz="4" w:space="0" w:color="auto"/>
              <w:left w:val="nil"/>
              <w:bottom w:val="nil"/>
              <w:right w:val="nil"/>
            </w:tcBorders>
            <w:shd w:val="clear" w:color="auto" w:fill="auto"/>
            <w:noWrap/>
            <w:vAlign w:val="bottom"/>
            <w:hideMark/>
          </w:tcPr>
          <w:p w14:paraId="335083B1"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Foundation-owned</w:t>
            </w:r>
          </w:p>
        </w:tc>
        <w:tc>
          <w:tcPr>
            <w:tcW w:w="1736" w:type="dxa"/>
            <w:tcBorders>
              <w:top w:val="single" w:sz="4" w:space="0" w:color="auto"/>
              <w:left w:val="nil"/>
              <w:bottom w:val="nil"/>
              <w:right w:val="nil"/>
            </w:tcBorders>
            <w:shd w:val="clear" w:color="auto" w:fill="auto"/>
            <w:noWrap/>
            <w:vAlign w:val="bottom"/>
            <w:hideMark/>
          </w:tcPr>
          <w:p w14:paraId="32D8EEAD"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-0.10***</w:t>
            </w:r>
          </w:p>
        </w:tc>
        <w:tc>
          <w:tcPr>
            <w:tcW w:w="2663" w:type="dxa"/>
            <w:tcBorders>
              <w:top w:val="single" w:sz="4" w:space="0" w:color="auto"/>
              <w:left w:val="nil"/>
              <w:bottom w:val="nil"/>
              <w:right w:val="nil"/>
            </w:tcBorders>
            <w:shd w:val="clear" w:color="auto" w:fill="auto"/>
            <w:noWrap/>
            <w:vAlign w:val="bottom"/>
            <w:hideMark/>
          </w:tcPr>
          <w:p w14:paraId="4749205D"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-0.09***</w:t>
            </w:r>
          </w:p>
        </w:tc>
      </w:tr>
      <w:tr w:rsidR="004034BD" w:rsidRPr="004034BD" w14:paraId="2D5B994F" w14:textId="77777777" w:rsidTr="005873BD">
        <w:trPr>
          <w:trHeight w:val="240"/>
        </w:trPr>
        <w:tc>
          <w:tcPr>
            <w:tcW w:w="2303" w:type="dxa"/>
            <w:tcBorders>
              <w:top w:val="nil"/>
              <w:left w:val="nil"/>
              <w:bottom w:val="nil"/>
              <w:right w:val="nil"/>
            </w:tcBorders>
            <w:shd w:val="clear" w:color="auto" w:fill="auto"/>
            <w:noWrap/>
            <w:vAlign w:val="bottom"/>
            <w:hideMark/>
          </w:tcPr>
          <w:p w14:paraId="437AC864" w14:textId="77777777" w:rsidR="004034BD" w:rsidRPr="004034BD" w:rsidRDefault="004034BD" w:rsidP="004034BD">
            <w:pPr>
              <w:spacing w:after="0"/>
              <w:rPr>
                <w:rFonts w:ascii="Times New Roman" w:eastAsia="Times New Roman" w:hAnsi="Times New Roman" w:cs="Times New Roman"/>
                <w:sz w:val="24"/>
                <w:szCs w:val="24"/>
              </w:rPr>
            </w:pPr>
          </w:p>
        </w:tc>
        <w:tc>
          <w:tcPr>
            <w:tcW w:w="1736" w:type="dxa"/>
            <w:tcBorders>
              <w:top w:val="nil"/>
              <w:left w:val="nil"/>
              <w:bottom w:val="nil"/>
              <w:right w:val="nil"/>
            </w:tcBorders>
            <w:shd w:val="clear" w:color="auto" w:fill="auto"/>
            <w:noWrap/>
            <w:vAlign w:val="bottom"/>
            <w:hideMark/>
          </w:tcPr>
          <w:p w14:paraId="58667E64"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(0.00)</w:t>
            </w:r>
          </w:p>
        </w:tc>
        <w:tc>
          <w:tcPr>
            <w:tcW w:w="2663" w:type="dxa"/>
            <w:tcBorders>
              <w:top w:val="nil"/>
              <w:left w:val="nil"/>
              <w:bottom w:val="nil"/>
              <w:right w:val="nil"/>
            </w:tcBorders>
            <w:shd w:val="clear" w:color="auto" w:fill="auto"/>
            <w:noWrap/>
            <w:vAlign w:val="bottom"/>
            <w:hideMark/>
          </w:tcPr>
          <w:p w14:paraId="6F0BA8E7"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(0.00)</w:t>
            </w:r>
          </w:p>
        </w:tc>
      </w:tr>
      <w:tr w:rsidR="004034BD" w:rsidRPr="004034BD" w14:paraId="55ED8AFB" w14:textId="77777777" w:rsidTr="005873BD">
        <w:trPr>
          <w:trHeight w:val="240"/>
        </w:trPr>
        <w:tc>
          <w:tcPr>
            <w:tcW w:w="2303" w:type="dxa"/>
            <w:tcBorders>
              <w:top w:val="nil"/>
              <w:left w:val="nil"/>
              <w:bottom w:val="nil"/>
              <w:right w:val="nil"/>
            </w:tcBorders>
            <w:shd w:val="clear" w:color="auto" w:fill="auto"/>
            <w:noWrap/>
            <w:vAlign w:val="bottom"/>
            <w:hideMark/>
          </w:tcPr>
          <w:p w14:paraId="2E153B0D"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Log(sales)</w:t>
            </w:r>
          </w:p>
        </w:tc>
        <w:tc>
          <w:tcPr>
            <w:tcW w:w="1736" w:type="dxa"/>
            <w:tcBorders>
              <w:top w:val="nil"/>
              <w:left w:val="nil"/>
              <w:bottom w:val="nil"/>
              <w:right w:val="nil"/>
            </w:tcBorders>
            <w:shd w:val="clear" w:color="auto" w:fill="auto"/>
            <w:noWrap/>
            <w:vAlign w:val="bottom"/>
            <w:hideMark/>
          </w:tcPr>
          <w:p w14:paraId="7F8722E8"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0.00</w:t>
            </w:r>
          </w:p>
        </w:tc>
        <w:tc>
          <w:tcPr>
            <w:tcW w:w="2663" w:type="dxa"/>
            <w:tcBorders>
              <w:top w:val="nil"/>
              <w:left w:val="nil"/>
              <w:bottom w:val="nil"/>
              <w:right w:val="nil"/>
            </w:tcBorders>
            <w:shd w:val="clear" w:color="auto" w:fill="auto"/>
            <w:noWrap/>
            <w:vAlign w:val="bottom"/>
            <w:hideMark/>
          </w:tcPr>
          <w:p w14:paraId="7E531F87"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0.00</w:t>
            </w:r>
          </w:p>
        </w:tc>
      </w:tr>
      <w:tr w:rsidR="004034BD" w:rsidRPr="004034BD" w14:paraId="0E7F0E11" w14:textId="77777777" w:rsidTr="005873BD">
        <w:trPr>
          <w:trHeight w:val="240"/>
        </w:trPr>
        <w:tc>
          <w:tcPr>
            <w:tcW w:w="2303" w:type="dxa"/>
            <w:tcBorders>
              <w:top w:val="nil"/>
              <w:left w:val="nil"/>
              <w:bottom w:val="nil"/>
              <w:right w:val="nil"/>
            </w:tcBorders>
            <w:shd w:val="clear" w:color="auto" w:fill="auto"/>
            <w:noWrap/>
            <w:vAlign w:val="bottom"/>
            <w:hideMark/>
          </w:tcPr>
          <w:p w14:paraId="14F9B2A7" w14:textId="77777777" w:rsidR="004034BD" w:rsidRPr="004034BD" w:rsidRDefault="004034BD" w:rsidP="004034BD">
            <w:pPr>
              <w:spacing w:after="0"/>
              <w:rPr>
                <w:rFonts w:ascii="Times New Roman" w:eastAsia="Times New Roman" w:hAnsi="Times New Roman" w:cs="Times New Roman"/>
                <w:sz w:val="24"/>
                <w:szCs w:val="24"/>
              </w:rPr>
            </w:pPr>
          </w:p>
        </w:tc>
        <w:tc>
          <w:tcPr>
            <w:tcW w:w="1736" w:type="dxa"/>
            <w:tcBorders>
              <w:top w:val="nil"/>
              <w:left w:val="nil"/>
              <w:bottom w:val="nil"/>
              <w:right w:val="nil"/>
            </w:tcBorders>
            <w:shd w:val="clear" w:color="auto" w:fill="auto"/>
            <w:noWrap/>
            <w:vAlign w:val="bottom"/>
            <w:hideMark/>
          </w:tcPr>
          <w:p w14:paraId="4A47609F"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(0.82)</w:t>
            </w:r>
          </w:p>
        </w:tc>
        <w:tc>
          <w:tcPr>
            <w:tcW w:w="2663" w:type="dxa"/>
            <w:tcBorders>
              <w:top w:val="nil"/>
              <w:left w:val="nil"/>
              <w:bottom w:val="nil"/>
              <w:right w:val="nil"/>
            </w:tcBorders>
            <w:shd w:val="clear" w:color="auto" w:fill="auto"/>
            <w:noWrap/>
            <w:vAlign w:val="bottom"/>
            <w:hideMark/>
          </w:tcPr>
          <w:p w14:paraId="2F529731"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(0.68)</w:t>
            </w:r>
          </w:p>
        </w:tc>
      </w:tr>
      <w:tr w:rsidR="004034BD" w:rsidRPr="004034BD" w14:paraId="58939899" w14:textId="77777777" w:rsidTr="005873BD">
        <w:trPr>
          <w:trHeight w:val="240"/>
        </w:trPr>
        <w:tc>
          <w:tcPr>
            <w:tcW w:w="2303" w:type="dxa"/>
            <w:tcBorders>
              <w:top w:val="nil"/>
              <w:left w:val="nil"/>
              <w:bottom w:val="nil"/>
              <w:right w:val="nil"/>
            </w:tcBorders>
            <w:shd w:val="clear" w:color="auto" w:fill="auto"/>
            <w:noWrap/>
            <w:vAlign w:val="bottom"/>
            <w:hideMark/>
          </w:tcPr>
          <w:p w14:paraId="3B4B5ECB"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Tangibility</w:t>
            </w:r>
          </w:p>
        </w:tc>
        <w:tc>
          <w:tcPr>
            <w:tcW w:w="1736" w:type="dxa"/>
            <w:tcBorders>
              <w:top w:val="nil"/>
              <w:left w:val="nil"/>
              <w:bottom w:val="nil"/>
              <w:right w:val="nil"/>
            </w:tcBorders>
            <w:shd w:val="clear" w:color="auto" w:fill="auto"/>
            <w:noWrap/>
            <w:vAlign w:val="bottom"/>
            <w:hideMark/>
          </w:tcPr>
          <w:p w14:paraId="55806990"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-0.17***</w:t>
            </w:r>
          </w:p>
        </w:tc>
        <w:tc>
          <w:tcPr>
            <w:tcW w:w="2663" w:type="dxa"/>
            <w:tcBorders>
              <w:top w:val="nil"/>
              <w:left w:val="nil"/>
              <w:bottom w:val="nil"/>
              <w:right w:val="nil"/>
            </w:tcBorders>
            <w:shd w:val="clear" w:color="auto" w:fill="auto"/>
            <w:noWrap/>
            <w:vAlign w:val="bottom"/>
            <w:hideMark/>
          </w:tcPr>
          <w:p w14:paraId="3A5E8EA8"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-0.15***</w:t>
            </w:r>
          </w:p>
        </w:tc>
      </w:tr>
      <w:tr w:rsidR="004034BD" w:rsidRPr="004034BD" w14:paraId="4E8525B9" w14:textId="77777777" w:rsidTr="005873BD">
        <w:trPr>
          <w:trHeight w:val="240"/>
        </w:trPr>
        <w:tc>
          <w:tcPr>
            <w:tcW w:w="2303" w:type="dxa"/>
            <w:tcBorders>
              <w:top w:val="nil"/>
              <w:left w:val="nil"/>
              <w:bottom w:val="nil"/>
              <w:right w:val="nil"/>
            </w:tcBorders>
            <w:shd w:val="clear" w:color="auto" w:fill="auto"/>
            <w:noWrap/>
            <w:vAlign w:val="bottom"/>
            <w:hideMark/>
          </w:tcPr>
          <w:p w14:paraId="3152100E" w14:textId="77777777" w:rsidR="004034BD" w:rsidRPr="004034BD" w:rsidRDefault="004034BD" w:rsidP="004034BD">
            <w:pPr>
              <w:spacing w:after="0"/>
              <w:rPr>
                <w:rFonts w:ascii="Times New Roman" w:eastAsia="Times New Roman" w:hAnsi="Times New Roman" w:cs="Times New Roman"/>
                <w:sz w:val="24"/>
                <w:szCs w:val="24"/>
              </w:rPr>
            </w:pPr>
          </w:p>
        </w:tc>
        <w:tc>
          <w:tcPr>
            <w:tcW w:w="1736" w:type="dxa"/>
            <w:tcBorders>
              <w:top w:val="nil"/>
              <w:left w:val="nil"/>
              <w:bottom w:val="nil"/>
              <w:right w:val="nil"/>
            </w:tcBorders>
            <w:shd w:val="clear" w:color="auto" w:fill="auto"/>
            <w:noWrap/>
            <w:vAlign w:val="bottom"/>
            <w:hideMark/>
          </w:tcPr>
          <w:p w14:paraId="343EC732"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(0.00)</w:t>
            </w:r>
          </w:p>
        </w:tc>
        <w:tc>
          <w:tcPr>
            <w:tcW w:w="2663" w:type="dxa"/>
            <w:tcBorders>
              <w:top w:val="nil"/>
              <w:left w:val="nil"/>
              <w:bottom w:val="nil"/>
              <w:right w:val="nil"/>
            </w:tcBorders>
            <w:shd w:val="clear" w:color="auto" w:fill="auto"/>
            <w:noWrap/>
            <w:vAlign w:val="bottom"/>
            <w:hideMark/>
          </w:tcPr>
          <w:p w14:paraId="676CA865"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(0.00)</w:t>
            </w:r>
          </w:p>
        </w:tc>
      </w:tr>
      <w:tr w:rsidR="004034BD" w:rsidRPr="004034BD" w14:paraId="4D146A32" w14:textId="77777777" w:rsidTr="005873BD">
        <w:trPr>
          <w:trHeight w:val="240"/>
        </w:trPr>
        <w:tc>
          <w:tcPr>
            <w:tcW w:w="2303" w:type="dxa"/>
            <w:tcBorders>
              <w:top w:val="nil"/>
              <w:left w:val="nil"/>
              <w:bottom w:val="nil"/>
              <w:right w:val="nil"/>
            </w:tcBorders>
            <w:shd w:val="clear" w:color="auto" w:fill="auto"/>
            <w:noWrap/>
            <w:vAlign w:val="bottom"/>
            <w:hideMark/>
          </w:tcPr>
          <w:p w14:paraId="65050DC9"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Non-</w:t>
            </w:r>
            <w:proofErr w:type="spellStart"/>
            <w:r w:rsidRPr="004034BD">
              <w:rPr>
                <w:rFonts w:ascii="Times New Roman" w:eastAsia="Times New Roman" w:hAnsi="Times New Roman" w:cs="Times New Roman"/>
                <w:sz w:val="24"/>
                <w:szCs w:val="24"/>
              </w:rPr>
              <w:t>debt</w:t>
            </w:r>
            <w:proofErr w:type="spellEnd"/>
            <w:r w:rsidRPr="004034BD">
              <w:rPr>
                <w:rFonts w:ascii="Times New Roman" w:eastAsia="Times New Roman" w:hAnsi="Times New Roman" w:cs="Times New Roman"/>
                <w:sz w:val="24"/>
                <w:szCs w:val="24"/>
              </w:rPr>
              <w:t xml:space="preserve"> </w:t>
            </w:r>
            <w:proofErr w:type="spellStart"/>
            <w:r w:rsidRPr="004034BD">
              <w:rPr>
                <w:rFonts w:ascii="Times New Roman" w:eastAsia="Times New Roman" w:hAnsi="Times New Roman" w:cs="Times New Roman"/>
                <w:sz w:val="24"/>
                <w:szCs w:val="24"/>
              </w:rPr>
              <w:t>taxshield</w:t>
            </w:r>
            <w:proofErr w:type="spellEnd"/>
          </w:p>
        </w:tc>
        <w:tc>
          <w:tcPr>
            <w:tcW w:w="1736" w:type="dxa"/>
            <w:tcBorders>
              <w:top w:val="nil"/>
              <w:left w:val="nil"/>
              <w:bottom w:val="nil"/>
              <w:right w:val="nil"/>
            </w:tcBorders>
            <w:shd w:val="clear" w:color="auto" w:fill="auto"/>
            <w:noWrap/>
            <w:vAlign w:val="bottom"/>
            <w:hideMark/>
          </w:tcPr>
          <w:p w14:paraId="0DEEC139"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-0.18**</w:t>
            </w:r>
          </w:p>
        </w:tc>
        <w:tc>
          <w:tcPr>
            <w:tcW w:w="2663" w:type="dxa"/>
            <w:tcBorders>
              <w:top w:val="nil"/>
              <w:left w:val="nil"/>
              <w:bottom w:val="nil"/>
              <w:right w:val="nil"/>
            </w:tcBorders>
            <w:shd w:val="clear" w:color="auto" w:fill="auto"/>
            <w:noWrap/>
            <w:vAlign w:val="bottom"/>
            <w:hideMark/>
          </w:tcPr>
          <w:p w14:paraId="1B775C16"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-0.21**</w:t>
            </w:r>
          </w:p>
        </w:tc>
      </w:tr>
      <w:tr w:rsidR="004034BD" w:rsidRPr="004034BD" w14:paraId="3F8F0665" w14:textId="77777777" w:rsidTr="005873BD">
        <w:trPr>
          <w:trHeight w:val="240"/>
        </w:trPr>
        <w:tc>
          <w:tcPr>
            <w:tcW w:w="2303" w:type="dxa"/>
            <w:tcBorders>
              <w:top w:val="nil"/>
              <w:left w:val="nil"/>
              <w:bottom w:val="nil"/>
              <w:right w:val="nil"/>
            </w:tcBorders>
            <w:shd w:val="clear" w:color="auto" w:fill="auto"/>
            <w:noWrap/>
            <w:vAlign w:val="bottom"/>
            <w:hideMark/>
          </w:tcPr>
          <w:p w14:paraId="233ACE77" w14:textId="77777777" w:rsidR="004034BD" w:rsidRPr="004034BD" w:rsidRDefault="004034BD" w:rsidP="004034BD">
            <w:pPr>
              <w:spacing w:after="0"/>
              <w:rPr>
                <w:rFonts w:ascii="Times New Roman" w:eastAsia="Times New Roman" w:hAnsi="Times New Roman" w:cs="Times New Roman"/>
                <w:sz w:val="24"/>
                <w:szCs w:val="24"/>
              </w:rPr>
            </w:pPr>
          </w:p>
        </w:tc>
        <w:tc>
          <w:tcPr>
            <w:tcW w:w="1736" w:type="dxa"/>
            <w:tcBorders>
              <w:top w:val="nil"/>
              <w:left w:val="nil"/>
              <w:bottom w:val="nil"/>
              <w:right w:val="nil"/>
            </w:tcBorders>
            <w:shd w:val="clear" w:color="auto" w:fill="auto"/>
            <w:noWrap/>
            <w:vAlign w:val="bottom"/>
            <w:hideMark/>
          </w:tcPr>
          <w:p w14:paraId="220F7DF4"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(0.01)</w:t>
            </w:r>
          </w:p>
        </w:tc>
        <w:tc>
          <w:tcPr>
            <w:tcW w:w="2663" w:type="dxa"/>
            <w:tcBorders>
              <w:top w:val="nil"/>
              <w:left w:val="nil"/>
              <w:bottom w:val="nil"/>
              <w:right w:val="nil"/>
            </w:tcBorders>
            <w:shd w:val="clear" w:color="auto" w:fill="auto"/>
            <w:noWrap/>
            <w:vAlign w:val="bottom"/>
            <w:hideMark/>
          </w:tcPr>
          <w:p w14:paraId="475FC17F"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(0.02)</w:t>
            </w:r>
          </w:p>
        </w:tc>
      </w:tr>
      <w:tr w:rsidR="004034BD" w:rsidRPr="004034BD" w14:paraId="691C5854" w14:textId="77777777" w:rsidTr="005873BD">
        <w:trPr>
          <w:trHeight w:val="240"/>
        </w:trPr>
        <w:tc>
          <w:tcPr>
            <w:tcW w:w="2303" w:type="dxa"/>
            <w:tcBorders>
              <w:top w:val="nil"/>
              <w:left w:val="nil"/>
              <w:bottom w:val="nil"/>
              <w:right w:val="nil"/>
            </w:tcBorders>
            <w:shd w:val="clear" w:color="auto" w:fill="auto"/>
            <w:noWrap/>
            <w:vAlign w:val="bottom"/>
            <w:hideMark/>
          </w:tcPr>
          <w:p w14:paraId="6CF521B0"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Performance (</w:t>
            </w:r>
            <w:proofErr w:type="spellStart"/>
            <w:r w:rsidRPr="004034BD">
              <w:rPr>
                <w:rFonts w:ascii="Times New Roman" w:eastAsia="Times New Roman" w:hAnsi="Times New Roman" w:cs="Times New Roman"/>
                <w:sz w:val="24"/>
                <w:szCs w:val="24"/>
              </w:rPr>
              <w:t>RoA</w:t>
            </w:r>
            <w:proofErr w:type="spellEnd"/>
            <w:r w:rsidRPr="004034BD">
              <w:rPr>
                <w:rFonts w:ascii="Times New Roman" w:eastAsia="Times New Roman" w:hAnsi="Times New Roman" w:cs="Times New Roman"/>
                <w:sz w:val="24"/>
                <w:szCs w:val="24"/>
              </w:rPr>
              <w:t>)</w:t>
            </w:r>
          </w:p>
        </w:tc>
        <w:tc>
          <w:tcPr>
            <w:tcW w:w="1736" w:type="dxa"/>
            <w:tcBorders>
              <w:top w:val="nil"/>
              <w:left w:val="nil"/>
              <w:bottom w:val="nil"/>
              <w:right w:val="nil"/>
            </w:tcBorders>
            <w:shd w:val="clear" w:color="auto" w:fill="auto"/>
            <w:noWrap/>
            <w:vAlign w:val="bottom"/>
            <w:hideMark/>
          </w:tcPr>
          <w:p w14:paraId="131A4457"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-0.20***</w:t>
            </w:r>
          </w:p>
        </w:tc>
        <w:tc>
          <w:tcPr>
            <w:tcW w:w="2663" w:type="dxa"/>
            <w:tcBorders>
              <w:top w:val="nil"/>
              <w:left w:val="nil"/>
              <w:bottom w:val="nil"/>
              <w:right w:val="nil"/>
            </w:tcBorders>
            <w:shd w:val="clear" w:color="auto" w:fill="auto"/>
            <w:noWrap/>
            <w:vAlign w:val="bottom"/>
            <w:hideMark/>
          </w:tcPr>
          <w:p w14:paraId="71BC8A8E"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-0.23***</w:t>
            </w:r>
          </w:p>
        </w:tc>
      </w:tr>
      <w:tr w:rsidR="004034BD" w:rsidRPr="004034BD" w14:paraId="6B914DC8" w14:textId="77777777" w:rsidTr="005873BD">
        <w:trPr>
          <w:trHeight w:val="240"/>
        </w:trPr>
        <w:tc>
          <w:tcPr>
            <w:tcW w:w="2303" w:type="dxa"/>
            <w:tcBorders>
              <w:top w:val="nil"/>
              <w:left w:val="nil"/>
              <w:bottom w:val="nil"/>
              <w:right w:val="nil"/>
            </w:tcBorders>
            <w:shd w:val="clear" w:color="auto" w:fill="auto"/>
            <w:noWrap/>
            <w:vAlign w:val="bottom"/>
            <w:hideMark/>
          </w:tcPr>
          <w:p w14:paraId="7F757A55" w14:textId="77777777" w:rsidR="004034BD" w:rsidRPr="004034BD" w:rsidRDefault="004034BD" w:rsidP="004034BD">
            <w:pPr>
              <w:spacing w:after="0"/>
              <w:rPr>
                <w:rFonts w:ascii="Times New Roman" w:eastAsia="Times New Roman" w:hAnsi="Times New Roman" w:cs="Times New Roman"/>
                <w:sz w:val="24"/>
                <w:szCs w:val="24"/>
              </w:rPr>
            </w:pPr>
          </w:p>
        </w:tc>
        <w:tc>
          <w:tcPr>
            <w:tcW w:w="1736" w:type="dxa"/>
            <w:tcBorders>
              <w:top w:val="nil"/>
              <w:left w:val="nil"/>
              <w:bottom w:val="nil"/>
              <w:right w:val="nil"/>
            </w:tcBorders>
            <w:shd w:val="clear" w:color="auto" w:fill="auto"/>
            <w:noWrap/>
            <w:vAlign w:val="bottom"/>
            <w:hideMark/>
          </w:tcPr>
          <w:p w14:paraId="58E31DB1"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(0.00)</w:t>
            </w:r>
          </w:p>
        </w:tc>
        <w:tc>
          <w:tcPr>
            <w:tcW w:w="2663" w:type="dxa"/>
            <w:tcBorders>
              <w:top w:val="nil"/>
              <w:left w:val="nil"/>
              <w:bottom w:val="nil"/>
              <w:right w:val="nil"/>
            </w:tcBorders>
            <w:shd w:val="clear" w:color="auto" w:fill="auto"/>
            <w:noWrap/>
            <w:vAlign w:val="bottom"/>
            <w:hideMark/>
          </w:tcPr>
          <w:p w14:paraId="1BF6F13C"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(0.00)</w:t>
            </w:r>
          </w:p>
        </w:tc>
      </w:tr>
      <w:tr w:rsidR="004034BD" w:rsidRPr="004034BD" w14:paraId="280ADF1F" w14:textId="77777777" w:rsidTr="005873BD">
        <w:trPr>
          <w:trHeight w:val="240"/>
        </w:trPr>
        <w:tc>
          <w:tcPr>
            <w:tcW w:w="2303" w:type="dxa"/>
            <w:tcBorders>
              <w:top w:val="nil"/>
              <w:left w:val="nil"/>
              <w:bottom w:val="nil"/>
              <w:right w:val="nil"/>
            </w:tcBorders>
            <w:shd w:val="clear" w:color="auto" w:fill="auto"/>
            <w:noWrap/>
            <w:vAlign w:val="bottom"/>
            <w:hideMark/>
          </w:tcPr>
          <w:p w14:paraId="4061DA55"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Constant</w:t>
            </w:r>
          </w:p>
        </w:tc>
        <w:tc>
          <w:tcPr>
            <w:tcW w:w="1736" w:type="dxa"/>
            <w:tcBorders>
              <w:top w:val="nil"/>
              <w:left w:val="nil"/>
              <w:bottom w:val="nil"/>
              <w:right w:val="nil"/>
            </w:tcBorders>
            <w:shd w:val="clear" w:color="auto" w:fill="auto"/>
            <w:noWrap/>
            <w:vAlign w:val="bottom"/>
            <w:hideMark/>
          </w:tcPr>
          <w:p w14:paraId="0501BF48"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0.96***</w:t>
            </w:r>
          </w:p>
        </w:tc>
        <w:tc>
          <w:tcPr>
            <w:tcW w:w="2663" w:type="dxa"/>
            <w:tcBorders>
              <w:top w:val="nil"/>
              <w:left w:val="nil"/>
              <w:bottom w:val="nil"/>
              <w:right w:val="nil"/>
            </w:tcBorders>
            <w:shd w:val="clear" w:color="auto" w:fill="auto"/>
            <w:noWrap/>
            <w:vAlign w:val="bottom"/>
            <w:hideMark/>
          </w:tcPr>
          <w:p w14:paraId="2F13DCD0"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0.55***</w:t>
            </w:r>
          </w:p>
        </w:tc>
      </w:tr>
      <w:tr w:rsidR="004034BD" w:rsidRPr="004034BD" w14:paraId="6F768EC0" w14:textId="77777777" w:rsidTr="005873BD">
        <w:trPr>
          <w:trHeight w:val="240"/>
        </w:trPr>
        <w:tc>
          <w:tcPr>
            <w:tcW w:w="2303" w:type="dxa"/>
            <w:tcBorders>
              <w:top w:val="nil"/>
              <w:left w:val="nil"/>
              <w:bottom w:val="nil"/>
              <w:right w:val="nil"/>
            </w:tcBorders>
            <w:shd w:val="clear" w:color="auto" w:fill="auto"/>
            <w:noWrap/>
            <w:vAlign w:val="bottom"/>
            <w:hideMark/>
          </w:tcPr>
          <w:p w14:paraId="441E6DA5" w14:textId="77777777" w:rsidR="004034BD" w:rsidRPr="004034BD" w:rsidRDefault="004034BD" w:rsidP="004034BD">
            <w:pPr>
              <w:spacing w:after="0"/>
              <w:rPr>
                <w:rFonts w:ascii="Times New Roman" w:eastAsia="Times New Roman" w:hAnsi="Times New Roman" w:cs="Times New Roman"/>
                <w:sz w:val="24"/>
                <w:szCs w:val="24"/>
              </w:rPr>
            </w:pPr>
          </w:p>
        </w:tc>
        <w:tc>
          <w:tcPr>
            <w:tcW w:w="1736" w:type="dxa"/>
            <w:tcBorders>
              <w:top w:val="nil"/>
              <w:left w:val="nil"/>
              <w:bottom w:val="nil"/>
              <w:right w:val="nil"/>
            </w:tcBorders>
            <w:shd w:val="clear" w:color="auto" w:fill="auto"/>
            <w:noWrap/>
            <w:vAlign w:val="bottom"/>
            <w:hideMark/>
          </w:tcPr>
          <w:p w14:paraId="5E61346C"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(0.00)</w:t>
            </w:r>
          </w:p>
        </w:tc>
        <w:tc>
          <w:tcPr>
            <w:tcW w:w="2663" w:type="dxa"/>
            <w:tcBorders>
              <w:top w:val="nil"/>
              <w:left w:val="nil"/>
              <w:bottom w:val="nil"/>
              <w:right w:val="nil"/>
            </w:tcBorders>
            <w:shd w:val="clear" w:color="auto" w:fill="auto"/>
            <w:noWrap/>
            <w:vAlign w:val="bottom"/>
            <w:hideMark/>
          </w:tcPr>
          <w:p w14:paraId="5224F923"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(0.00)</w:t>
            </w:r>
          </w:p>
        </w:tc>
      </w:tr>
      <w:tr w:rsidR="004034BD" w:rsidRPr="004034BD" w14:paraId="626C4B50" w14:textId="77777777" w:rsidTr="005873BD">
        <w:trPr>
          <w:trHeight w:val="240"/>
        </w:trPr>
        <w:tc>
          <w:tcPr>
            <w:tcW w:w="2303" w:type="dxa"/>
            <w:tcBorders>
              <w:top w:val="nil"/>
              <w:left w:val="nil"/>
              <w:bottom w:val="nil"/>
              <w:right w:val="nil"/>
            </w:tcBorders>
            <w:shd w:val="clear" w:color="auto" w:fill="auto"/>
            <w:noWrap/>
            <w:vAlign w:val="bottom"/>
          </w:tcPr>
          <w:p w14:paraId="324F5031"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Industry effects</w:t>
            </w:r>
          </w:p>
        </w:tc>
        <w:tc>
          <w:tcPr>
            <w:tcW w:w="1736" w:type="dxa"/>
            <w:tcBorders>
              <w:top w:val="nil"/>
              <w:left w:val="nil"/>
              <w:bottom w:val="nil"/>
              <w:right w:val="nil"/>
            </w:tcBorders>
            <w:shd w:val="clear" w:color="auto" w:fill="auto"/>
            <w:noWrap/>
            <w:vAlign w:val="bottom"/>
          </w:tcPr>
          <w:p w14:paraId="27C425C5"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Yes</w:t>
            </w:r>
          </w:p>
        </w:tc>
        <w:tc>
          <w:tcPr>
            <w:tcW w:w="2663" w:type="dxa"/>
            <w:tcBorders>
              <w:top w:val="nil"/>
              <w:left w:val="nil"/>
              <w:bottom w:val="nil"/>
              <w:right w:val="nil"/>
            </w:tcBorders>
            <w:shd w:val="clear" w:color="auto" w:fill="auto"/>
            <w:noWrap/>
            <w:vAlign w:val="bottom"/>
          </w:tcPr>
          <w:p w14:paraId="2AE9B25C"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Yes</w:t>
            </w:r>
          </w:p>
        </w:tc>
      </w:tr>
      <w:tr w:rsidR="004034BD" w:rsidRPr="004034BD" w14:paraId="736257AC" w14:textId="77777777" w:rsidTr="005873BD">
        <w:trPr>
          <w:trHeight w:val="240"/>
        </w:trPr>
        <w:tc>
          <w:tcPr>
            <w:tcW w:w="2303" w:type="dxa"/>
            <w:tcBorders>
              <w:top w:val="nil"/>
              <w:left w:val="nil"/>
              <w:bottom w:val="nil"/>
              <w:right w:val="nil"/>
            </w:tcBorders>
            <w:shd w:val="clear" w:color="auto" w:fill="auto"/>
            <w:noWrap/>
            <w:vAlign w:val="bottom"/>
            <w:hideMark/>
          </w:tcPr>
          <w:p w14:paraId="6F92185F"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Year effects</w:t>
            </w:r>
          </w:p>
        </w:tc>
        <w:tc>
          <w:tcPr>
            <w:tcW w:w="1736" w:type="dxa"/>
            <w:tcBorders>
              <w:top w:val="nil"/>
              <w:left w:val="nil"/>
              <w:bottom w:val="nil"/>
              <w:right w:val="nil"/>
            </w:tcBorders>
            <w:shd w:val="clear" w:color="auto" w:fill="auto"/>
            <w:noWrap/>
            <w:vAlign w:val="bottom"/>
            <w:hideMark/>
          </w:tcPr>
          <w:p w14:paraId="52BDEC52"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Yes</w:t>
            </w:r>
          </w:p>
        </w:tc>
        <w:tc>
          <w:tcPr>
            <w:tcW w:w="2663" w:type="dxa"/>
            <w:tcBorders>
              <w:top w:val="nil"/>
              <w:left w:val="nil"/>
              <w:bottom w:val="nil"/>
              <w:right w:val="nil"/>
            </w:tcBorders>
            <w:shd w:val="clear" w:color="auto" w:fill="auto"/>
            <w:noWrap/>
            <w:vAlign w:val="bottom"/>
            <w:hideMark/>
          </w:tcPr>
          <w:p w14:paraId="5B1FF0B6"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Yes</w:t>
            </w:r>
          </w:p>
        </w:tc>
      </w:tr>
      <w:tr w:rsidR="004034BD" w:rsidRPr="004034BD" w14:paraId="6BE0399D" w14:textId="77777777" w:rsidTr="005873BD">
        <w:trPr>
          <w:trHeight w:val="240"/>
        </w:trPr>
        <w:tc>
          <w:tcPr>
            <w:tcW w:w="2303" w:type="dxa"/>
            <w:tcBorders>
              <w:top w:val="nil"/>
              <w:left w:val="nil"/>
              <w:bottom w:val="nil"/>
              <w:right w:val="nil"/>
            </w:tcBorders>
            <w:shd w:val="clear" w:color="auto" w:fill="auto"/>
            <w:noWrap/>
            <w:vAlign w:val="bottom"/>
          </w:tcPr>
          <w:p w14:paraId="1ECA4E5C" w14:textId="77777777" w:rsidR="004034BD" w:rsidRPr="004034BD" w:rsidRDefault="004034BD" w:rsidP="004034BD">
            <w:pPr>
              <w:spacing w:after="0"/>
              <w:rPr>
                <w:rFonts w:ascii="Times New Roman" w:eastAsia="Times New Roman" w:hAnsi="Times New Roman" w:cs="Times New Roman"/>
                <w:sz w:val="24"/>
                <w:szCs w:val="24"/>
              </w:rPr>
            </w:pPr>
          </w:p>
        </w:tc>
        <w:tc>
          <w:tcPr>
            <w:tcW w:w="1736" w:type="dxa"/>
            <w:tcBorders>
              <w:top w:val="nil"/>
              <w:left w:val="nil"/>
              <w:bottom w:val="nil"/>
              <w:right w:val="nil"/>
            </w:tcBorders>
            <w:shd w:val="clear" w:color="auto" w:fill="auto"/>
            <w:noWrap/>
            <w:vAlign w:val="bottom"/>
          </w:tcPr>
          <w:p w14:paraId="522CD00D" w14:textId="77777777" w:rsidR="004034BD" w:rsidRPr="004034BD" w:rsidRDefault="004034BD" w:rsidP="004034BD">
            <w:pPr>
              <w:spacing w:after="0"/>
              <w:jc w:val="center"/>
              <w:rPr>
                <w:rFonts w:ascii="Times New Roman" w:eastAsia="Times New Roman" w:hAnsi="Times New Roman" w:cs="Times New Roman"/>
                <w:sz w:val="24"/>
                <w:szCs w:val="24"/>
              </w:rPr>
            </w:pPr>
          </w:p>
        </w:tc>
        <w:tc>
          <w:tcPr>
            <w:tcW w:w="2663" w:type="dxa"/>
            <w:tcBorders>
              <w:top w:val="nil"/>
              <w:left w:val="nil"/>
              <w:bottom w:val="nil"/>
              <w:right w:val="nil"/>
            </w:tcBorders>
            <w:shd w:val="clear" w:color="auto" w:fill="auto"/>
            <w:noWrap/>
            <w:vAlign w:val="bottom"/>
          </w:tcPr>
          <w:p w14:paraId="1C365825" w14:textId="01CB7D10" w:rsidR="004034BD" w:rsidRPr="004034BD" w:rsidRDefault="006A6F93" w:rsidP="006A6F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sidR="004034BD" w:rsidRPr="004034BD">
              <w:rPr>
                <w:rFonts w:ascii="Times New Roman" w:eastAsia="Times New Roman" w:hAnsi="Times New Roman" w:cs="Times New Roman"/>
                <w:sz w:val="24"/>
                <w:szCs w:val="24"/>
              </w:rPr>
              <w:t xml:space="preserve">100 </w:t>
            </w:r>
            <w:proofErr w:type="spellStart"/>
            <w:r w:rsidR="004034BD" w:rsidRPr="004034BD">
              <w:rPr>
                <w:rFonts w:ascii="Times New Roman" w:eastAsia="Times New Roman" w:hAnsi="Times New Roman" w:cs="Times New Roman"/>
                <w:sz w:val="24"/>
                <w:szCs w:val="24"/>
              </w:rPr>
              <w:t>employees</w:t>
            </w:r>
            <w:proofErr w:type="spellEnd"/>
            <w:r w:rsidR="004034BD" w:rsidRPr="004034BD">
              <w:rPr>
                <w:rFonts w:ascii="Times New Roman" w:eastAsia="Times New Roman" w:hAnsi="Times New Roman" w:cs="Times New Roman"/>
                <w:sz w:val="24"/>
                <w:szCs w:val="24"/>
              </w:rPr>
              <w:t xml:space="preserve"> </w:t>
            </w:r>
          </w:p>
        </w:tc>
      </w:tr>
      <w:tr w:rsidR="004034BD" w:rsidRPr="004034BD" w14:paraId="0E84CE9F" w14:textId="77777777" w:rsidTr="005873BD">
        <w:trPr>
          <w:trHeight w:val="240"/>
        </w:trPr>
        <w:tc>
          <w:tcPr>
            <w:tcW w:w="2303" w:type="dxa"/>
            <w:tcBorders>
              <w:top w:val="nil"/>
              <w:left w:val="nil"/>
              <w:bottom w:val="nil"/>
              <w:right w:val="nil"/>
            </w:tcBorders>
            <w:shd w:val="clear" w:color="auto" w:fill="auto"/>
            <w:noWrap/>
            <w:vAlign w:val="bottom"/>
            <w:hideMark/>
          </w:tcPr>
          <w:p w14:paraId="140F2264"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Observations</w:t>
            </w:r>
          </w:p>
        </w:tc>
        <w:tc>
          <w:tcPr>
            <w:tcW w:w="1736" w:type="dxa"/>
            <w:tcBorders>
              <w:top w:val="nil"/>
              <w:left w:val="nil"/>
              <w:bottom w:val="nil"/>
              <w:right w:val="nil"/>
            </w:tcBorders>
            <w:shd w:val="clear" w:color="auto" w:fill="auto"/>
            <w:noWrap/>
            <w:vAlign w:val="bottom"/>
            <w:hideMark/>
          </w:tcPr>
          <w:p w14:paraId="23A70E9A"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9,541</w:t>
            </w:r>
          </w:p>
        </w:tc>
        <w:tc>
          <w:tcPr>
            <w:tcW w:w="2663" w:type="dxa"/>
            <w:tcBorders>
              <w:top w:val="nil"/>
              <w:left w:val="nil"/>
              <w:bottom w:val="nil"/>
              <w:right w:val="nil"/>
            </w:tcBorders>
            <w:shd w:val="clear" w:color="auto" w:fill="auto"/>
            <w:noWrap/>
            <w:vAlign w:val="bottom"/>
            <w:hideMark/>
          </w:tcPr>
          <w:p w14:paraId="5AE7ED3B"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6,669</w:t>
            </w:r>
          </w:p>
        </w:tc>
      </w:tr>
      <w:tr w:rsidR="004034BD" w:rsidRPr="004034BD" w14:paraId="6450673F" w14:textId="77777777" w:rsidTr="005873BD">
        <w:trPr>
          <w:trHeight w:val="240"/>
        </w:trPr>
        <w:tc>
          <w:tcPr>
            <w:tcW w:w="2303" w:type="dxa"/>
            <w:tcBorders>
              <w:top w:val="nil"/>
              <w:left w:val="nil"/>
              <w:bottom w:val="single" w:sz="4" w:space="0" w:color="auto"/>
              <w:right w:val="nil"/>
            </w:tcBorders>
            <w:shd w:val="clear" w:color="auto" w:fill="auto"/>
            <w:noWrap/>
            <w:vAlign w:val="bottom"/>
            <w:hideMark/>
          </w:tcPr>
          <w:p w14:paraId="17F7699A" w14:textId="77777777" w:rsidR="004034BD" w:rsidRPr="004034BD" w:rsidRDefault="004034BD" w:rsidP="004034BD">
            <w:pPr>
              <w:spacing w:after="0"/>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R-squared</w:t>
            </w:r>
          </w:p>
        </w:tc>
        <w:tc>
          <w:tcPr>
            <w:tcW w:w="1736" w:type="dxa"/>
            <w:tcBorders>
              <w:top w:val="nil"/>
              <w:left w:val="nil"/>
              <w:bottom w:val="single" w:sz="4" w:space="0" w:color="auto"/>
              <w:right w:val="nil"/>
            </w:tcBorders>
            <w:shd w:val="clear" w:color="auto" w:fill="auto"/>
            <w:noWrap/>
            <w:vAlign w:val="bottom"/>
            <w:hideMark/>
          </w:tcPr>
          <w:p w14:paraId="099B097F"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0.15</w:t>
            </w:r>
          </w:p>
        </w:tc>
        <w:tc>
          <w:tcPr>
            <w:tcW w:w="2663" w:type="dxa"/>
            <w:tcBorders>
              <w:top w:val="nil"/>
              <w:left w:val="nil"/>
              <w:bottom w:val="single" w:sz="4" w:space="0" w:color="auto"/>
              <w:right w:val="nil"/>
            </w:tcBorders>
            <w:shd w:val="clear" w:color="auto" w:fill="auto"/>
            <w:noWrap/>
            <w:vAlign w:val="bottom"/>
            <w:hideMark/>
          </w:tcPr>
          <w:p w14:paraId="1BC80ABB" w14:textId="77777777" w:rsidR="004034BD" w:rsidRPr="004034BD" w:rsidRDefault="004034BD" w:rsidP="004034BD">
            <w:pPr>
              <w:spacing w:after="0"/>
              <w:jc w:val="center"/>
              <w:rPr>
                <w:rFonts w:ascii="Times New Roman" w:eastAsia="Times New Roman" w:hAnsi="Times New Roman" w:cs="Times New Roman"/>
                <w:sz w:val="24"/>
                <w:szCs w:val="24"/>
              </w:rPr>
            </w:pPr>
            <w:r w:rsidRPr="004034BD">
              <w:rPr>
                <w:rFonts w:ascii="Times New Roman" w:eastAsia="Times New Roman" w:hAnsi="Times New Roman" w:cs="Times New Roman"/>
                <w:sz w:val="24"/>
                <w:szCs w:val="24"/>
              </w:rPr>
              <w:t>0.17</w:t>
            </w:r>
          </w:p>
        </w:tc>
      </w:tr>
    </w:tbl>
    <w:p w14:paraId="7B95C861" w14:textId="77777777" w:rsidR="004034BD" w:rsidRPr="004034BD" w:rsidRDefault="004034BD" w:rsidP="004034BD">
      <w:pPr>
        <w:jc w:val="both"/>
        <w:rPr>
          <w:rFonts w:ascii="Times New Roman" w:hAnsi="Times New Roman" w:cs="Times New Roman"/>
          <w:b/>
          <w:sz w:val="24"/>
          <w:szCs w:val="24"/>
        </w:rPr>
      </w:pPr>
    </w:p>
    <w:p w14:paraId="5AAA76CB" w14:textId="77777777" w:rsidR="00DF685B" w:rsidRDefault="004034BD" w:rsidP="00DF685B">
      <w:pPr>
        <w:ind w:firstLine="720"/>
        <w:jc w:val="both"/>
        <w:rPr>
          <w:rFonts w:ascii="Times New Roman" w:hAnsi="Times New Roman" w:cs="Times New Roman"/>
          <w:sz w:val="24"/>
          <w:szCs w:val="24"/>
          <w:lang w:val="en-US"/>
        </w:rPr>
      </w:pPr>
      <w:r w:rsidRPr="006A6F93">
        <w:rPr>
          <w:rFonts w:ascii="Times New Roman" w:hAnsi="Times New Roman" w:cs="Times New Roman"/>
          <w:sz w:val="24"/>
          <w:szCs w:val="24"/>
          <w:lang w:val="en-US"/>
        </w:rPr>
        <w:t>Looking at the main explanatory variable, the dummy variable for foundation ownership, we see that it is very robust – same coefficient and same level of significance across both models. The result is that the ratio of total debt to total assets, on average, is 9%-10%-points lower in foundation-owned firms after having controlled for other</w:t>
      </w:r>
      <w:r w:rsidR="00DF685B">
        <w:rPr>
          <w:rFonts w:ascii="Times New Roman" w:hAnsi="Times New Roman" w:cs="Times New Roman"/>
          <w:sz w:val="24"/>
          <w:szCs w:val="24"/>
          <w:lang w:val="en-US"/>
        </w:rPr>
        <w:t xml:space="preserve"> relevant firm characteristics.</w:t>
      </w:r>
    </w:p>
    <w:p w14:paraId="7A4A34EF" w14:textId="60363878" w:rsidR="00DF685B" w:rsidRDefault="00DF685B" w:rsidP="00DF685B">
      <w:pPr>
        <w:jc w:val="both"/>
        <w:rPr>
          <w:rFonts w:ascii="Times New Roman" w:hAnsi="Times New Roman" w:cs="Times New Roman"/>
          <w:sz w:val="24"/>
          <w:szCs w:val="24"/>
          <w:lang w:val="en-US"/>
        </w:rPr>
      </w:pPr>
      <w:r>
        <w:rPr>
          <w:rFonts w:ascii="Times New Roman" w:hAnsi="Times New Roman" w:cs="Times New Roman"/>
          <w:sz w:val="24"/>
          <w:szCs w:val="24"/>
          <w:lang w:val="en-US"/>
        </w:rPr>
        <w:t>The impression that we get is that foundation-owned firms are more conservatively financed. This may help explain their higher survival rates and the higher stability of ownership, since foundation-owned firms can withstand larger shocks are less likely to be forced by creditors to issue new equity and change ownership when faced with economic losses.</w:t>
      </w:r>
    </w:p>
    <w:p w14:paraId="02FFCA9A" w14:textId="589C2BD3" w:rsidR="00A606F3" w:rsidRDefault="00DF685B" w:rsidP="00DF685B">
      <w:pPr>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1AB505AF" w14:textId="77777777" w:rsidR="003835D8" w:rsidRDefault="003835D8" w:rsidP="004034BD">
      <w:pPr>
        <w:rPr>
          <w:rFonts w:ascii="Times New Roman" w:hAnsi="Times New Roman" w:cs="Times New Roman"/>
          <w:sz w:val="24"/>
          <w:szCs w:val="24"/>
          <w:lang w:val="en-US"/>
        </w:rPr>
      </w:pPr>
    </w:p>
    <w:p w14:paraId="1B21432A" w14:textId="77777777" w:rsidR="00DF685B" w:rsidRDefault="00DF685B" w:rsidP="004034BD">
      <w:pPr>
        <w:rPr>
          <w:rFonts w:ascii="Times New Roman" w:hAnsi="Times New Roman" w:cs="Times New Roman"/>
          <w:sz w:val="24"/>
          <w:szCs w:val="24"/>
          <w:lang w:val="en-US"/>
        </w:rPr>
      </w:pPr>
    </w:p>
    <w:p w14:paraId="661A677D" w14:textId="77777777" w:rsidR="00DF685B" w:rsidRDefault="00DF685B" w:rsidP="004034BD">
      <w:pPr>
        <w:rPr>
          <w:rFonts w:ascii="Times New Roman" w:hAnsi="Times New Roman" w:cs="Times New Roman"/>
          <w:sz w:val="24"/>
          <w:szCs w:val="24"/>
          <w:lang w:val="en-US"/>
        </w:rPr>
      </w:pPr>
    </w:p>
    <w:p w14:paraId="1E012052" w14:textId="77777777" w:rsidR="00DF685B" w:rsidRDefault="00DF685B" w:rsidP="004034BD">
      <w:pPr>
        <w:rPr>
          <w:rFonts w:ascii="Times New Roman" w:hAnsi="Times New Roman" w:cs="Times New Roman"/>
          <w:sz w:val="24"/>
          <w:szCs w:val="24"/>
          <w:lang w:val="en-US"/>
        </w:rPr>
      </w:pPr>
    </w:p>
    <w:p w14:paraId="2C41B192" w14:textId="77777777" w:rsidR="00DF685B" w:rsidRDefault="00DF685B" w:rsidP="004034BD">
      <w:pPr>
        <w:rPr>
          <w:rFonts w:ascii="Times New Roman" w:hAnsi="Times New Roman" w:cs="Times New Roman"/>
          <w:sz w:val="24"/>
          <w:szCs w:val="24"/>
          <w:lang w:val="en-US"/>
        </w:rPr>
      </w:pPr>
    </w:p>
    <w:p w14:paraId="6F460853" w14:textId="77777777" w:rsidR="00DF685B" w:rsidRPr="004034BD" w:rsidRDefault="00DF685B" w:rsidP="004034BD">
      <w:pPr>
        <w:rPr>
          <w:rFonts w:ascii="Times New Roman" w:hAnsi="Times New Roman" w:cs="Times New Roman"/>
          <w:sz w:val="24"/>
          <w:szCs w:val="24"/>
          <w:lang w:val="en-US"/>
        </w:rPr>
      </w:pPr>
    </w:p>
    <w:p w14:paraId="4EF02E0A" w14:textId="7F4881A4" w:rsidR="00A606F3" w:rsidRPr="004034BD" w:rsidRDefault="006A6F93" w:rsidP="004034BD">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r w:rsidR="004A72CE" w:rsidRPr="004034BD">
        <w:rPr>
          <w:rFonts w:ascii="Times New Roman" w:hAnsi="Times New Roman" w:cs="Times New Roman"/>
          <w:b/>
          <w:sz w:val="24"/>
          <w:szCs w:val="24"/>
          <w:lang w:val="en-US"/>
        </w:rPr>
        <w:t xml:space="preserve">. </w:t>
      </w:r>
      <w:r w:rsidR="00A606F3" w:rsidRPr="004034BD">
        <w:rPr>
          <w:rFonts w:ascii="Times New Roman" w:hAnsi="Times New Roman" w:cs="Times New Roman"/>
          <w:b/>
          <w:sz w:val="24"/>
          <w:szCs w:val="24"/>
          <w:lang w:val="en-US"/>
        </w:rPr>
        <w:t>Conclusions</w:t>
      </w:r>
    </w:p>
    <w:p w14:paraId="057660C6" w14:textId="77777777" w:rsidR="0037304E" w:rsidRDefault="00535A2C">
      <w:pPr>
        <w:rPr>
          <w:rFonts w:ascii="Times New Roman" w:hAnsi="Times New Roman" w:cs="Times New Roman"/>
          <w:sz w:val="24"/>
          <w:szCs w:val="24"/>
          <w:lang w:val="en-US"/>
        </w:rPr>
      </w:pPr>
      <w:r>
        <w:rPr>
          <w:rFonts w:ascii="Times New Roman" w:hAnsi="Times New Roman" w:cs="Times New Roman"/>
          <w:sz w:val="24"/>
          <w:szCs w:val="24"/>
          <w:lang w:val="en-US"/>
        </w:rPr>
        <w:t>F</w:t>
      </w:r>
      <w:r w:rsidR="006A6F93">
        <w:rPr>
          <w:rFonts w:ascii="Times New Roman" w:hAnsi="Times New Roman" w:cs="Times New Roman"/>
          <w:sz w:val="24"/>
          <w:szCs w:val="24"/>
          <w:lang w:val="en-US"/>
        </w:rPr>
        <w:t>oundat</w:t>
      </w:r>
      <w:r>
        <w:rPr>
          <w:rFonts w:ascii="Times New Roman" w:hAnsi="Times New Roman" w:cs="Times New Roman"/>
          <w:sz w:val="24"/>
          <w:szCs w:val="24"/>
          <w:lang w:val="en-US"/>
        </w:rPr>
        <w:t xml:space="preserve">ion-ownership does in fact appear to be long term over a range of measures. In this paper we have demonstrated, that </w:t>
      </w:r>
    </w:p>
    <w:p w14:paraId="65EC169E" w14:textId="77777777" w:rsidR="0037304E" w:rsidRDefault="00535A2C" w:rsidP="0037304E">
      <w:pPr>
        <w:pStyle w:val="ListParagraph"/>
        <w:numPr>
          <w:ilvl w:val="0"/>
          <w:numId w:val="23"/>
        </w:numPr>
        <w:rPr>
          <w:rFonts w:ascii="Times New Roman" w:hAnsi="Times New Roman" w:cs="Times New Roman"/>
          <w:sz w:val="24"/>
          <w:szCs w:val="24"/>
          <w:lang w:val="en-US"/>
        </w:rPr>
      </w:pPr>
      <w:r w:rsidRPr="0037304E">
        <w:rPr>
          <w:rFonts w:ascii="Times New Roman" w:hAnsi="Times New Roman" w:cs="Times New Roman"/>
          <w:sz w:val="24"/>
          <w:szCs w:val="24"/>
          <w:lang w:val="en-US"/>
        </w:rPr>
        <w:t xml:space="preserve">foundation ownership is more stable, </w:t>
      </w:r>
    </w:p>
    <w:p w14:paraId="23925DB5" w14:textId="46361E45" w:rsidR="0037304E" w:rsidRDefault="0037304E" w:rsidP="0037304E">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that </w:t>
      </w:r>
      <w:r w:rsidR="00535A2C" w:rsidRPr="0037304E">
        <w:rPr>
          <w:rFonts w:ascii="Times New Roman" w:hAnsi="Times New Roman" w:cs="Times New Roman"/>
          <w:sz w:val="24"/>
          <w:szCs w:val="24"/>
          <w:lang w:val="en-US"/>
        </w:rPr>
        <w:t xml:space="preserve">foundation-owned companies are more conservatively financed and </w:t>
      </w:r>
    </w:p>
    <w:p w14:paraId="7F3B648C" w14:textId="77777777" w:rsidR="0037304E" w:rsidRDefault="00535A2C" w:rsidP="0037304E">
      <w:pPr>
        <w:pStyle w:val="ListParagraph"/>
        <w:numPr>
          <w:ilvl w:val="0"/>
          <w:numId w:val="23"/>
        </w:numPr>
        <w:rPr>
          <w:rFonts w:ascii="Times New Roman" w:hAnsi="Times New Roman" w:cs="Times New Roman"/>
          <w:sz w:val="24"/>
          <w:szCs w:val="24"/>
          <w:lang w:val="en-US"/>
        </w:rPr>
      </w:pPr>
      <w:proofErr w:type="gramStart"/>
      <w:r w:rsidRPr="0037304E">
        <w:rPr>
          <w:rFonts w:ascii="Times New Roman" w:hAnsi="Times New Roman" w:cs="Times New Roman"/>
          <w:sz w:val="24"/>
          <w:szCs w:val="24"/>
          <w:lang w:val="en-US"/>
        </w:rPr>
        <w:t>that</w:t>
      </w:r>
      <w:proofErr w:type="gramEnd"/>
      <w:r w:rsidRPr="0037304E">
        <w:rPr>
          <w:rFonts w:ascii="Times New Roman" w:hAnsi="Times New Roman" w:cs="Times New Roman"/>
          <w:sz w:val="24"/>
          <w:szCs w:val="24"/>
          <w:lang w:val="en-US"/>
        </w:rPr>
        <w:t xml:space="preserve"> foundation-owned companies </w:t>
      </w:r>
      <w:r w:rsidR="0037304E">
        <w:rPr>
          <w:rFonts w:ascii="Times New Roman" w:hAnsi="Times New Roman" w:cs="Times New Roman"/>
          <w:sz w:val="24"/>
          <w:szCs w:val="24"/>
          <w:lang w:val="en-US"/>
        </w:rPr>
        <w:t xml:space="preserve">tend to </w:t>
      </w:r>
      <w:r w:rsidRPr="0037304E">
        <w:rPr>
          <w:rFonts w:ascii="Times New Roman" w:hAnsi="Times New Roman" w:cs="Times New Roman"/>
          <w:sz w:val="24"/>
          <w:szCs w:val="24"/>
          <w:lang w:val="en-US"/>
        </w:rPr>
        <w:t>survive longer</w:t>
      </w:r>
      <w:r w:rsidR="0037304E">
        <w:rPr>
          <w:rFonts w:ascii="Times New Roman" w:hAnsi="Times New Roman" w:cs="Times New Roman"/>
          <w:sz w:val="24"/>
          <w:szCs w:val="24"/>
          <w:lang w:val="en-US"/>
        </w:rPr>
        <w:t>.</w:t>
      </w:r>
    </w:p>
    <w:p w14:paraId="6FE9EF88" w14:textId="097AAADC" w:rsidR="0037304E" w:rsidRDefault="0037304E" w:rsidP="0037304E">
      <w:pPr>
        <w:rPr>
          <w:rFonts w:ascii="Times New Roman" w:hAnsi="Times New Roman" w:cs="Times New Roman"/>
          <w:sz w:val="24"/>
          <w:szCs w:val="24"/>
          <w:lang w:val="en-US"/>
        </w:rPr>
      </w:pPr>
      <w:r>
        <w:rPr>
          <w:rFonts w:ascii="Times New Roman" w:hAnsi="Times New Roman" w:cs="Times New Roman"/>
          <w:sz w:val="24"/>
          <w:szCs w:val="24"/>
          <w:lang w:val="en-US"/>
        </w:rPr>
        <w:t xml:space="preserve">Additional indicators of </w:t>
      </w:r>
      <w:proofErr w:type="spellStart"/>
      <w:r>
        <w:rPr>
          <w:rFonts w:ascii="Times New Roman" w:hAnsi="Times New Roman" w:cs="Times New Roman"/>
          <w:sz w:val="24"/>
          <w:szCs w:val="24"/>
          <w:lang w:val="en-US"/>
        </w:rPr>
        <w:t>longtermism</w:t>
      </w:r>
      <w:proofErr w:type="spellEnd"/>
      <w:r>
        <w:rPr>
          <w:rFonts w:ascii="Times New Roman" w:hAnsi="Times New Roman" w:cs="Times New Roman"/>
          <w:sz w:val="24"/>
          <w:szCs w:val="24"/>
          <w:lang w:val="en-US"/>
        </w:rPr>
        <w:t xml:space="preserve"> are found in related research on industrial foundations:</w:t>
      </w:r>
    </w:p>
    <w:p w14:paraId="41F97950" w14:textId="7D7D8A83" w:rsidR="0037304E" w:rsidRDefault="00AC2EA3" w:rsidP="0037304E">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executives in foundation-owned firms are replaced less often</w:t>
      </w:r>
    </w:p>
    <w:p w14:paraId="55D919F4" w14:textId="79B29C40" w:rsidR="00AC2EA3" w:rsidRDefault="00AC2EA3" w:rsidP="0037304E">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board members in foundation-owned firms are replaced less often</w:t>
      </w:r>
    </w:p>
    <w:p w14:paraId="5437BF4C" w14:textId="2E1BAA7E" w:rsidR="00AC2EA3" w:rsidRDefault="00AC2EA3" w:rsidP="0037304E">
      <w:pPr>
        <w:pStyle w:val="ListParagraph"/>
        <w:numPr>
          <w:ilvl w:val="0"/>
          <w:numId w:val="23"/>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foundation</w:t>
      </w:r>
      <w:proofErr w:type="gramEnd"/>
      <w:r>
        <w:rPr>
          <w:rFonts w:ascii="Times New Roman" w:hAnsi="Times New Roman" w:cs="Times New Roman"/>
          <w:sz w:val="24"/>
          <w:szCs w:val="24"/>
          <w:lang w:val="en-US"/>
        </w:rPr>
        <w:t xml:space="preserve"> owned firms have less volatile earnings (lower volatility of ROA).</w:t>
      </w:r>
    </w:p>
    <w:p w14:paraId="18EF444B" w14:textId="72486150" w:rsidR="00AC2EA3" w:rsidRDefault="00AC2EA3" w:rsidP="00AC2EA3">
      <w:pPr>
        <w:rPr>
          <w:rFonts w:ascii="Times New Roman" w:hAnsi="Times New Roman" w:cs="Times New Roman"/>
          <w:sz w:val="24"/>
          <w:szCs w:val="24"/>
          <w:lang w:val="en-US"/>
        </w:rPr>
      </w:pPr>
      <w:r>
        <w:rPr>
          <w:rFonts w:ascii="Times New Roman" w:hAnsi="Times New Roman" w:cs="Times New Roman"/>
          <w:sz w:val="24"/>
          <w:szCs w:val="24"/>
          <w:lang w:val="en-US"/>
        </w:rPr>
        <w:t xml:space="preserve">Thus, there is </w:t>
      </w:r>
      <w:r w:rsidR="00A031E8">
        <w:rPr>
          <w:rFonts w:ascii="Times New Roman" w:hAnsi="Times New Roman" w:cs="Times New Roman"/>
          <w:sz w:val="24"/>
          <w:szCs w:val="24"/>
          <w:lang w:val="en-US"/>
        </w:rPr>
        <w:t xml:space="preserve">now </w:t>
      </w:r>
      <w:r>
        <w:rPr>
          <w:rFonts w:ascii="Times New Roman" w:hAnsi="Times New Roman" w:cs="Times New Roman"/>
          <w:sz w:val="24"/>
          <w:szCs w:val="24"/>
          <w:lang w:val="en-US"/>
        </w:rPr>
        <w:t xml:space="preserve">little doubt that foundation-ownership is associated with </w:t>
      </w:r>
      <w:proofErr w:type="spellStart"/>
      <w:r>
        <w:rPr>
          <w:rFonts w:ascii="Times New Roman" w:hAnsi="Times New Roman" w:cs="Times New Roman"/>
          <w:sz w:val="24"/>
          <w:szCs w:val="24"/>
          <w:lang w:val="en-US"/>
        </w:rPr>
        <w:t>longtermism</w:t>
      </w:r>
      <w:proofErr w:type="spellEnd"/>
      <w:r>
        <w:rPr>
          <w:rFonts w:ascii="Times New Roman" w:hAnsi="Times New Roman" w:cs="Times New Roman"/>
          <w:sz w:val="24"/>
          <w:szCs w:val="24"/>
          <w:lang w:val="en-US"/>
        </w:rPr>
        <w:t>.</w:t>
      </w:r>
    </w:p>
    <w:p w14:paraId="5F985E3F" w14:textId="1B9E55F7" w:rsidR="00AC2EA3" w:rsidRDefault="00AC2EA3" w:rsidP="00AC2EA3">
      <w:pPr>
        <w:rPr>
          <w:rFonts w:ascii="Times New Roman" w:hAnsi="Times New Roman" w:cs="Times New Roman"/>
          <w:sz w:val="24"/>
          <w:szCs w:val="24"/>
          <w:lang w:val="en-US"/>
        </w:rPr>
      </w:pPr>
      <w:r>
        <w:rPr>
          <w:rFonts w:ascii="Times New Roman" w:hAnsi="Times New Roman" w:cs="Times New Roman"/>
          <w:sz w:val="24"/>
          <w:szCs w:val="24"/>
          <w:lang w:val="en-US"/>
        </w:rPr>
        <w:t xml:space="preserve">Other aspects of foundation-ownership may be interpreted in this light. For example, recent research (Hansmann and Thomsen 2013, Børsting et al. 2014) </w:t>
      </w:r>
      <w:r w:rsidR="00A031E8">
        <w:rPr>
          <w:rFonts w:ascii="Times New Roman" w:hAnsi="Times New Roman" w:cs="Times New Roman"/>
          <w:sz w:val="24"/>
          <w:szCs w:val="24"/>
          <w:lang w:val="en-US"/>
        </w:rPr>
        <w:t>finds that foundation-owned companies have lower growth rates, which may perhaps reflect more cautious and gradual expansion and fewer large acquis</w:t>
      </w:r>
      <w:r w:rsidR="003A257F">
        <w:rPr>
          <w:rFonts w:ascii="Times New Roman" w:hAnsi="Times New Roman" w:cs="Times New Roman"/>
          <w:sz w:val="24"/>
          <w:szCs w:val="24"/>
          <w:lang w:val="en-US"/>
        </w:rPr>
        <w:t>i</w:t>
      </w:r>
      <w:r w:rsidR="00A031E8">
        <w:rPr>
          <w:rFonts w:ascii="Times New Roman" w:hAnsi="Times New Roman" w:cs="Times New Roman"/>
          <w:sz w:val="24"/>
          <w:szCs w:val="24"/>
          <w:lang w:val="en-US"/>
        </w:rPr>
        <w:t xml:space="preserve">tions than in other firms </w:t>
      </w:r>
    </w:p>
    <w:p w14:paraId="5A9F3B30" w14:textId="2D42C473" w:rsidR="00AC2EA3" w:rsidRDefault="00AC2EA3" w:rsidP="00AC2EA3">
      <w:pPr>
        <w:rPr>
          <w:rFonts w:ascii="Times New Roman" w:hAnsi="Times New Roman" w:cs="Times New Roman"/>
          <w:sz w:val="24"/>
          <w:szCs w:val="24"/>
          <w:lang w:val="en-US"/>
        </w:rPr>
      </w:pPr>
      <w:r>
        <w:rPr>
          <w:rFonts w:ascii="Times New Roman" w:hAnsi="Times New Roman" w:cs="Times New Roman"/>
          <w:sz w:val="24"/>
          <w:szCs w:val="24"/>
          <w:lang w:val="en-US"/>
        </w:rPr>
        <w:t xml:space="preserve">The direction of causality probably runs </w:t>
      </w:r>
      <w:r w:rsidR="00E963D8">
        <w:rPr>
          <w:rFonts w:ascii="Times New Roman" w:hAnsi="Times New Roman" w:cs="Times New Roman"/>
          <w:sz w:val="24"/>
          <w:szCs w:val="24"/>
          <w:lang w:val="en-US"/>
        </w:rPr>
        <w:t xml:space="preserve">mainly </w:t>
      </w:r>
      <w:r>
        <w:rPr>
          <w:rFonts w:ascii="Times New Roman" w:hAnsi="Times New Roman" w:cs="Times New Roman"/>
          <w:sz w:val="24"/>
          <w:szCs w:val="24"/>
          <w:lang w:val="en-US"/>
        </w:rPr>
        <w:t>from foundation-ownership to long-termism. Foundations are created to administer and ownership stake in a given company</w:t>
      </w:r>
      <w:r w:rsidR="00A031E8">
        <w:rPr>
          <w:rFonts w:ascii="Times New Roman" w:hAnsi="Times New Roman" w:cs="Times New Roman"/>
          <w:sz w:val="24"/>
          <w:szCs w:val="24"/>
          <w:lang w:val="en-US"/>
        </w:rPr>
        <w:t xml:space="preserve"> at a given point in time determined mainly by founder characteristics</w:t>
      </w:r>
      <w:r w:rsidR="00D05460">
        <w:rPr>
          <w:rFonts w:ascii="Times New Roman" w:hAnsi="Times New Roman" w:cs="Times New Roman"/>
          <w:sz w:val="24"/>
          <w:szCs w:val="24"/>
          <w:lang w:val="en-US"/>
        </w:rPr>
        <w:t>, tax considerations etc. They rarely buy or sell companies as we have shown and so stock picking of stable companies is less persuasive.</w:t>
      </w:r>
      <w:r w:rsidR="003A257F">
        <w:rPr>
          <w:rFonts w:ascii="Times New Roman" w:hAnsi="Times New Roman" w:cs="Times New Roman"/>
          <w:sz w:val="24"/>
          <w:szCs w:val="24"/>
          <w:lang w:val="en-US"/>
        </w:rPr>
        <w:t xml:space="preserve"> Moreover, foundation ownership is scattered across many industries with different risk profiles – e.g. shipping, pharmaceuticals, engineering, newspapers etc.</w:t>
      </w:r>
      <w:r w:rsidR="00E963D8">
        <w:rPr>
          <w:rFonts w:ascii="Times New Roman" w:hAnsi="Times New Roman" w:cs="Times New Roman"/>
          <w:sz w:val="24"/>
          <w:szCs w:val="24"/>
          <w:lang w:val="en-US"/>
        </w:rPr>
        <w:t xml:space="preserve"> However, founders may be more likely to choose foundation ownership for stable companies in mature industries so we cannot entirely rule out reverse causality.</w:t>
      </w:r>
    </w:p>
    <w:p w14:paraId="1E94A7C3" w14:textId="77777777" w:rsidR="00E03586" w:rsidRDefault="004A1331" w:rsidP="00AC2EA3">
      <w:pPr>
        <w:rPr>
          <w:rFonts w:ascii="Times New Roman" w:hAnsi="Times New Roman" w:cs="Times New Roman"/>
          <w:sz w:val="24"/>
          <w:szCs w:val="24"/>
          <w:lang w:val="en-US"/>
        </w:rPr>
      </w:pPr>
      <w:r>
        <w:rPr>
          <w:rFonts w:ascii="Times New Roman" w:hAnsi="Times New Roman" w:cs="Times New Roman"/>
          <w:sz w:val="24"/>
          <w:szCs w:val="24"/>
          <w:lang w:val="en-US"/>
        </w:rPr>
        <w:t xml:space="preserve">We imagine that future research in this area could </w:t>
      </w:r>
      <w:r w:rsidR="00571718">
        <w:rPr>
          <w:rFonts w:ascii="Times New Roman" w:hAnsi="Times New Roman" w:cs="Times New Roman"/>
          <w:sz w:val="24"/>
          <w:szCs w:val="24"/>
          <w:lang w:val="en-US"/>
        </w:rPr>
        <w:t xml:space="preserve">examine further aspect long-termism such as investment, R&amp;D or M&amp;A which we have not touched upon so far. Do foundation-owned companies retain more of their earnings? Do they invest more? Do they do more </w:t>
      </w:r>
      <w:proofErr w:type="spellStart"/>
      <w:proofErr w:type="gramStart"/>
      <w:r w:rsidR="00571718">
        <w:rPr>
          <w:rFonts w:ascii="Times New Roman" w:hAnsi="Times New Roman" w:cs="Times New Roman"/>
          <w:sz w:val="24"/>
          <w:szCs w:val="24"/>
          <w:lang w:val="en-US"/>
        </w:rPr>
        <w:t>r&amp;d</w:t>
      </w:r>
      <w:proofErr w:type="spellEnd"/>
      <w:proofErr w:type="gramEnd"/>
      <w:r w:rsidR="00571718">
        <w:rPr>
          <w:rFonts w:ascii="Times New Roman" w:hAnsi="Times New Roman" w:cs="Times New Roman"/>
          <w:sz w:val="24"/>
          <w:szCs w:val="24"/>
          <w:lang w:val="en-US"/>
        </w:rPr>
        <w:t xml:space="preserve">? Or do they invest in a different (say more continuous way).  </w:t>
      </w:r>
    </w:p>
    <w:p w14:paraId="2693651E" w14:textId="103BE9F1" w:rsidR="00AE6756" w:rsidRDefault="00AE6756" w:rsidP="00AC2EA3">
      <w:pPr>
        <w:rPr>
          <w:rFonts w:ascii="Times New Roman" w:hAnsi="Times New Roman" w:cs="Times New Roman"/>
          <w:sz w:val="24"/>
          <w:szCs w:val="24"/>
          <w:lang w:val="en-US"/>
        </w:rPr>
      </w:pPr>
      <w:r>
        <w:rPr>
          <w:rFonts w:ascii="Times New Roman" w:hAnsi="Times New Roman" w:cs="Times New Roman"/>
          <w:sz w:val="24"/>
          <w:szCs w:val="24"/>
          <w:lang w:val="en-US"/>
        </w:rPr>
        <w:t>Further survival research might examine the survival of foundation-owned companies after the foundation was established and compare to companies of similar age. The same approach could be used to study performance, capital structure and other aspects of foundation research.</w:t>
      </w:r>
    </w:p>
    <w:p w14:paraId="75AA9C80" w14:textId="11268485" w:rsidR="00E963D8" w:rsidRDefault="00571718" w:rsidP="00AC2EA3">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A further avenue for future research is to </w:t>
      </w:r>
      <w:r w:rsidR="004A1331">
        <w:rPr>
          <w:rFonts w:ascii="Times New Roman" w:hAnsi="Times New Roman" w:cs="Times New Roman"/>
          <w:sz w:val="24"/>
          <w:szCs w:val="24"/>
          <w:lang w:val="en-US"/>
        </w:rPr>
        <w:t xml:space="preserve">examine the performance implications of  </w:t>
      </w:r>
      <w:proofErr w:type="spellStart"/>
      <w:r w:rsidR="004A1331">
        <w:rPr>
          <w:rFonts w:ascii="Times New Roman" w:hAnsi="Times New Roman" w:cs="Times New Roman"/>
          <w:sz w:val="24"/>
          <w:szCs w:val="24"/>
          <w:lang w:val="en-US"/>
        </w:rPr>
        <w:t>longtermism</w:t>
      </w:r>
      <w:proofErr w:type="spellEnd"/>
      <w:r w:rsidR="004A1331">
        <w:rPr>
          <w:rFonts w:ascii="Times New Roman" w:hAnsi="Times New Roman" w:cs="Times New Roman"/>
          <w:sz w:val="24"/>
          <w:szCs w:val="24"/>
          <w:lang w:val="en-US"/>
        </w:rPr>
        <w:t xml:space="preserve">. For example, is </w:t>
      </w:r>
      <w:proofErr w:type="spellStart"/>
      <w:r w:rsidR="004A1331">
        <w:rPr>
          <w:rFonts w:ascii="Times New Roman" w:hAnsi="Times New Roman" w:cs="Times New Roman"/>
          <w:sz w:val="24"/>
          <w:szCs w:val="24"/>
          <w:lang w:val="en-US"/>
        </w:rPr>
        <w:t>longtermism</w:t>
      </w:r>
      <w:proofErr w:type="spellEnd"/>
      <w:r w:rsidR="004A1331">
        <w:rPr>
          <w:rFonts w:ascii="Times New Roman" w:hAnsi="Times New Roman" w:cs="Times New Roman"/>
          <w:sz w:val="24"/>
          <w:szCs w:val="24"/>
          <w:lang w:val="en-US"/>
        </w:rPr>
        <w:t xml:space="preserve"> associated with slowness and bad performance or patience and good performance?  While we have verified that foundation-owned companies are indeed more long term, we have not yet established whether </w:t>
      </w:r>
      <w:proofErr w:type="spellStart"/>
      <w:r w:rsidR="004A1331">
        <w:rPr>
          <w:rFonts w:ascii="Times New Roman" w:hAnsi="Times New Roman" w:cs="Times New Roman"/>
          <w:sz w:val="24"/>
          <w:szCs w:val="24"/>
          <w:lang w:val="en-US"/>
        </w:rPr>
        <w:t>long</w:t>
      </w:r>
      <w:r w:rsidR="00E03586">
        <w:rPr>
          <w:rFonts w:ascii="Times New Roman" w:hAnsi="Times New Roman" w:cs="Times New Roman"/>
          <w:sz w:val="24"/>
          <w:szCs w:val="24"/>
          <w:lang w:val="en-US"/>
        </w:rPr>
        <w:t>t</w:t>
      </w:r>
      <w:r w:rsidR="004A1331">
        <w:rPr>
          <w:rFonts w:ascii="Times New Roman" w:hAnsi="Times New Roman" w:cs="Times New Roman"/>
          <w:sz w:val="24"/>
          <w:szCs w:val="24"/>
          <w:lang w:val="en-US"/>
        </w:rPr>
        <w:t>ermism</w:t>
      </w:r>
      <w:proofErr w:type="spellEnd"/>
      <w:r w:rsidR="004A1331">
        <w:rPr>
          <w:rFonts w:ascii="Times New Roman" w:hAnsi="Times New Roman" w:cs="Times New Roman"/>
          <w:sz w:val="24"/>
          <w:szCs w:val="24"/>
          <w:lang w:val="en-US"/>
        </w:rPr>
        <w:t xml:space="preserve"> is </w:t>
      </w:r>
      <w:proofErr w:type="gramStart"/>
      <w:r w:rsidR="004A1331">
        <w:rPr>
          <w:rFonts w:ascii="Times New Roman" w:hAnsi="Times New Roman" w:cs="Times New Roman"/>
          <w:sz w:val="24"/>
          <w:szCs w:val="24"/>
          <w:lang w:val="en-US"/>
        </w:rPr>
        <w:t>a an</w:t>
      </w:r>
      <w:proofErr w:type="gramEnd"/>
      <w:r w:rsidR="004A1331">
        <w:rPr>
          <w:rFonts w:ascii="Times New Roman" w:hAnsi="Times New Roman" w:cs="Times New Roman"/>
          <w:sz w:val="24"/>
          <w:szCs w:val="24"/>
          <w:lang w:val="en-US"/>
        </w:rPr>
        <w:t xml:space="preserve"> advantage or a disadvantage for their performance. </w:t>
      </w:r>
      <w:r w:rsidR="00E03586">
        <w:rPr>
          <w:rFonts w:ascii="Times New Roman" w:hAnsi="Times New Roman" w:cs="Times New Roman"/>
          <w:sz w:val="24"/>
          <w:szCs w:val="24"/>
          <w:lang w:val="en-US"/>
        </w:rPr>
        <w:t xml:space="preserve"> Finally, it will be interesting to examine whether is it possible to say more about causality using natural experiments such a policy shocks.</w:t>
      </w:r>
    </w:p>
    <w:p w14:paraId="6B2798FE" w14:textId="77777777" w:rsidR="00440D11" w:rsidRPr="004D76E4" w:rsidRDefault="00082C9F" w:rsidP="00B16D9A">
      <w:pPr>
        <w:pStyle w:val="Heading1"/>
        <w:jc w:val="both"/>
        <w:rPr>
          <w:rFonts w:ascii="Times New Roman" w:hAnsi="Times New Roman" w:cs="Times New Roman"/>
          <w:sz w:val="24"/>
          <w:szCs w:val="24"/>
          <w:lang w:val="en-US"/>
        </w:rPr>
      </w:pPr>
      <w:r w:rsidRPr="004D76E4">
        <w:rPr>
          <w:rFonts w:ascii="Times New Roman" w:hAnsi="Times New Roman" w:cs="Times New Roman"/>
          <w:sz w:val="24"/>
          <w:szCs w:val="24"/>
          <w:lang w:val="en-US"/>
        </w:rPr>
        <w:lastRenderedPageBreak/>
        <w:t>L</w:t>
      </w:r>
      <w:r w:rsidR="00440D11" w:rsidRPr="004D76E4">
        <w:rPr>
          <w:rFonts w:ascii="Times New Roman" w:hAnsi="Times New Roman" w:cs="Times New Roman"/>
          <w:sz w:val="24"/>
          <w:szCs w:val="24"/>
          <w:lang w:val="en-US"/>
        </w:rPr>
        <w:t>iterature</w:t>
      </w:r>
    </w:p>
    <w:p w14:paraId="692542C7" w14:textId="77777777" w:rsidR="00B86028" w:rsidRPr="004D76E4" w:rsidRDefault="00B86028" w:rsidP="00B16D9A">
      <w:pPr>
        <w:jc w:val="both"/>
        <w:rPr>
          <w:rFonts w:ascii="Times New Roman" w:hAnsi="Times New Roman" w:cs="Times New Roman"/>
          <w:sz w:val="24"/>
          <w:szCs w:val="24"/>
          <w:lang w:val="en-US"/>
        </w:rPr>
      </w:pPr>
    </w:p>
    <w:sdt>
      <w:sdtPr>
        <w:rPr>
          <w:rFonts w:ascii="Times New Roman" w:hAnsi="Times New Roman" w:cs="Times New Roman"/>
          <w:sz w:val="24"/>
          <w:szCs w:val="24"/>
        </w:rPr>
        <w:id w:val="1313983621"/>
        <w:docPartObj>
          <w:docPartGallery w:val="Bibliographies"/>
          <w:docPartUnique/>
        </w:docPartObj>
      </w:sdtPr>
      <w:sdtEndPr/>
      <w:sdtContent>
        <w:p w14:paraId="557FCBE5" w14:textId="403F313C" w:rsidR="0003358F" w:rsidRDefault="0003358F" w:rsidP="007143E6">
          <w:pPr>
            <w:jc w:val="both"/>
            <w:rPr>
              <w:rFonts w:ascii="Times New Roman" w:hAnsi="Times New Roman" w:cs="Times New Roman"/>
              <w:sz w:val="24"/>
              <w:szCs w:val="24"/>
              <w:lang w:val="en-US"/>
            </w:rPr>
          </w:pPr>
          <w:r w:rsidRPr="004D76E4">
            <w:rPr>
              <w:rFonts w:ascii="Times New Roman" w:hAnsi="Times New Roman" w:cs="Times New Roman"/>
              <w:sz w:val="24"/>
              <w:szCs w:val="24"/>
              <w:lang w:val="en-US"/>
            </w:rPr>
            <w:t xml:space="preserve">Agrawal, </w:t>
          </w:r>
          <w:proofErr w:type="spellStart"/>
          <w:r w:rsidRPr="004D76E4">
            <w:rPr>
              <w:rFonts w:ascii="Times New Roman" w:hAnsi="Times New Roman" w:cs="Times New Roman"/>
              <w:sz w:val="24"/>
              <w:szCs w:val="24"/>
              <w:lang w:val="en-US"/>
            </w:rPr>
            <w:t>Anup</w:t>
          </w:r>
          <w:proofErr w:type="spellEnd"/>
          <w:r w:rsidRPr="004D76E4">
            <w:rPr>
              <w:rFonts w:ascii="Times New Roman" w:hAnsi="Times New Roman" w:cs="Times New Roman"/>
              <w:sz w:val="24"/>
              <w:szCs w:val="24"/>
              <w:lang w:val="en-US"/>
            </w:rPr>
            <w:t xml:space="preserve"> and Nasser, </w:t>
          </w:r>
          <w:proofErr w:type="spellStart"/>
          <w:r w:rsidRPr="004D76E4">
            <w:rPr>
              <w:rFonts w:ascii="Times New Roman" w:hAnsi="Times New Roman" w:cs="Times New Roman"/>
              <w:sz w:val="24"/>
              <w:szCs w:val="24"/>
              <w:lang w:val="en-US"/>
            </w:rPr>
            <w:t>Tareque</w:t>
          </w:r>
          <w:proofErr w:type="spellEnd"/>
          <w:r w:rsidRPr="004D76E4">
            <w:rPr>
              <w:rFonts w:ascii="Times New Roman" w:hAnsi="Times New Roman" w:cs="Times New Roman"/>
              <w:sz w:val="24"/>
              <w:szCs w:val="24"/>
              <w:lang w:val="en-US"/>
            </w:rPr>
            <w:t xml:space="preserve">, </w:t>
          </w:r>
          <w:proofErr w:type="spellStart"/>
          <w:r w:rsidRPr="004D76E4">
            <w:rPr>
              <w:rFonts w:ascii="Times New Roman" w:hAnsi="Times New Roman" w:cs="Times New Roman"/>
              <w:sz w:val="24"/>
              <w:szCs w:val="24"/>
              <w:lang w:val="en-US"/>
            </w:rPr>
            <w:t>Blockholders</w:t>
          </w:r>
          <w:proofErr w:type="spellEnd"/>
          <w:r w:rsidRPr="004D76E4">
            <w:rPr>
              <w:rFonts w:ascii="Times New Roman" w:hAnsi="Times New Roman" w:cs="Times New Roman"/>
              <w:sz w:val="24"/>
              <w:szCs w:val="24"/>
              <w:lang w:val="en-US"/>
            </w:rPr>
            <w:t xml:space="preserve"> on Boards and CEO Compensation, Turnover and Firm Valuation (August 30, 2012). CELS 2009 4th Annual Conference on Empirical Legal Studies Paper; AFA 2012 Chicago Meetings Paper. Available at SSRN: http://ssrn.com/abstract=1443431 or </w:t>
          </w:r>
          <w:r w:rsidR="009F38D8">
            <w:fldChar w:fldCharType="begin"/>
          </w:r>
          <w:r w:rsidR="009F38D8" w:rsidRPr="00794439">
            <w:rPr>
              <w:lang w:val="en-US"/>
            </w:rPr>
            <w:instrText xml:space="preserve"> HYPERLINK "http://d</w:instrText>
          </w:r>
          <w:r w:rsidR="009F38D8" w:rsidRPr="00794439">
            <w:rPr>
              <w:lang w:val="en-US"/>
            </w:rPr>
            <w:instrText xml:space="preserve">x.doi.org/10.2139/ssrn.1443431" </w:instrText>
          </w:r>
          <w:r w:rsidR="009F38D8">
            <w:fldChar w:fldCharType="separate"/>
          </w:r>
          <w:r w:rsidR="00BF3DB6" w:rsidRPr="008863D8">
            <w:rPr>
              <w:rStyle w:val="Hyperlink"/>
              <w:rFonts w:ascii="Times New Roman" w:hAnsi="Times New Roman" w:cs="Times New Roman"/>
              <w:sz w:val="24"/>
              <w:szCs w:val="24"/>
              <w:lang w:val="en-US"/>
            </w:rPr>
            <w:t>http://dx.doi.org/10.2139/ssrn.1443431</w:t>
          </w:r>
          <w:r w:rsidR="009F38D8">
            <w:rPr>
              <w:rStyle w:val="Hyperlink"/>
              <w:rFonts w:ascii="Times New Roman" w:hAnsi="Times New Roman" w:cs="Times New Roman"/>
              <w:sz w:val="24"/>
              <w:szCs w:val="24"/>
              <w:lang w:val="en-US"/>
            </w:rPr>
            <w:fldChar w:fldCharType="end"/>
          </w:r>
          <w:r w:rsidR="00BF3DB6">
            <w:rPr>
              <w:rFonts w:ascii="Times New Roman" w:hAnsi="Times New Roman" w:cs="Times New Roman"/>
              <w:sz w:val="24"/>
              <w:szCs w:val="24"/>
              <w:lang w:val="en-US"/>
            </w:rPr>
            <w:t>.</w:t>
          </w:r>
        </w:p>
        <w:p w14:paraId="263B04E4" w14:textId="4E05C05E" w:rsidR="005767EC" w:rsidRDefault="005767EC" w:rsidP="005767EC">
          <w:pPr>
            <w:jc w:val="both"/>
            <w:rPr>
              <w:rFonts w:ascii="Times New Roman" w:hAnsi="Times New Roman" w:cs="Times New Roman"/>
              <w:sz w:val="24"/>
              <w:szCs w:val="24"/>
              <w:lang w:val="en-US"/>
            </w:rPr>
          </w:pPr>
          <w:r w:rsidRPr="005767EC">
            <w:rPr>
              <w:rFonts w:ascii="Times New Roman" w:hAnsi="Times New Roman" w:cs="Times New Roman"/>
              <w:sz w:val="24"/>
              <w:szCs w:val="24"/>
              <w:lang w:val="en-US"/>
            </w:rPr>
            <w:t xml:space="preserve">John Asker, Joan </w:t>
          </w:r>
          <w:proofErr w:type="spellStart"/>
          <w:r w:rsidRPr="005767EC">
            <w:rPr>
              <w:rFonts w:ascii="Times New Roman" w:hAnsi="Times New Roman" w:cs="Times New Roman"/>
              <w:sz w:val="24"/>
              <w:szCs w:val="24"/>
              <w:lang w:val="en-US"/>
            </w:rPr>
            <w:t>Farre</w:t>
          </w:r>
          <w:proofErr w:type="spellEnd"/>
          <w:r w:rsidRPr="005767EC">
            <w:rPr>
              <w:rFonts w:ascii="Times New Roman" w:hAnsi="Times New Roman" w:cs="Times New Roman"/>
              <w:sz w:val="24"/>
              <w:szCs w:val="24"/>
              <w:lang w:val="en-US"/>
            </w:rPr>
            <w:t xml:space="preserve">-Mensa &amp; Alexander </w:t>
          </w:r>
          <w:proofErr w:type="spellStart"/>
          <w:r w:rsidRPr="005767EC">
            <w:rPr>
              <w:rFonts w:ascii="Times New Roman" w:hAnsi="Times New Roman" w:cs="Times New Roman"/>
              <w:sz w:val="24"/>
              <w:szCs w:val="24"/>
              <w:lang w:val="en-US"/>
            </w:rPr>
            <w:t>Ljungqvist</w:t>
          </w:r>
          <w:proofErr w:type="spellEnd"/>
          <w:r w:rsidRPr="005767EC">
            <w:rPr>
              <w:rFonts w:ascii="Times New Roman" w:hAnsi="Times New Roman" w:cs="Times New Roman"/>
              <w:sz w:val="24"/>
              <w:szCs w:val="24"/>
              <w:lang w:val="en-US"/>
            </w:rPr>
            <w:t>, Comparing the Investment Behavior of</w:t>
          </w:r>
          <w:r>
            <w:rPr>
              <w:rFonts w:ascii="Times New Roman" w:hAnsi="Times New Roman" w:cs="Times New Roman"/>
              <w:sz w:val="24"/>
              <w:szCs w:val="24"/>
              <w:lang w:val="en-US"/>
            </w:rPr>
            <w:t xml:space="preserve"> </w:t>
          </w:r>
          <w:r w:rsidRPr="005767EC">
            <w:rPr>
              <w:rFonts w:ascii="Times New Roman" w:hAnsi="Times New Roman" w:cs="Times New Roman"/>
              <w:sz w:val="24"/>
              <w:szCs w:val="24"/>
              <w:lang w:val="en-US"/>
            </w:rPr>
            <w:t>Public and Private Firms (Nat’l Bureau Econ. Research, Working Paper No. 17394, 2011),</w:t>
          </w:r>
          <w:r>
            <w:rPr>
              <w:rFonts w:ascii="Times New Roman" w:hAnsi="Times New Roman" w:cs="Times New Roman"/>
              <w:sz w:val="24"/>
              <w:szCs w:val="24"/>
              <w:lang w:val="en-US"/>
            </w:rPr>
            <w:t xml:space="preserve"> </w:t>
          </w:r>
          <w:r w:rsidR="009F38D8">
            <w:fldChar w:fldCharType="begin"/>
          </w:r>
          <w:r w:rsidR="009F38D8" w:rsidRPr="00794439">
            <w:rPr>
              <w:lang w:val="en-US"/>
            </w:rPr>
            <w:instrText xml:space="preserve"> HYP</w:instrText>
          </w:r>
          <w:r w:rsidR="009F38D8" w:rsidRPr="00794439">
            <w:rPr>
              <w:lang w:val="en-US"/>
            </w:rPr>
            <w:instrText xml:space="preserve">ERLINK "http://ssrn.com/paper=1931164" </w:instrText>
          </w:r>
          <w:r w:rsidR="009F38D8">
            <w:fldChar w:fldCharType="separate"/>
          </w:r>
          <w:r w:rsidRPr="008863D8">
            <w:rPr>
              <w:rStyle w:val="Hyperlink"/>
              <w:rFonts w:ascii="Times New Roman" w:hAnsi="Times New Roman" w:cs="Times New Roman"/>
              <w:sz w:val="24"/>
              <w:szCs w:val="24"/>
              <w:lang w:val="en-US"/>
            </w:rPr>
            <w:t>http://ssrn.com/paper=1931164</w:t>
          </w:r>
          <w:r w:rsidR="009F38D8">
            <w:rPr>
              <w:rStyle w:val="Hyperlink"/>
              <w:rFonts w:ascii="Times New Roman" w:hAnsi="Times New Roman" w:cs="Times New Roman"/>
              <w:sz w:val="24"/>
              <w:szCs w:val="24"/>
              <w:lang w:val="en-US"/>
            </w:rPr>
            <w:fldChar w:fldCharType="end"/>
          </w:r>
          <w:r w:rsidRPr="005767EC">
            <w:rPr>
              <w:rFonts w:ascii="Times New Roman" w:hAnsi="Times New Roman" w:cs="Times New Roman"/>
              <w:sz w:val="24"/>
              <w:szCs w:val="24"/>
              <w:lang w:val="en-US"/>
            </w:rPr>
            <w:t xml:space="preserve">; </w:t>
          </w:r>
        </w:p>
        <w:p w14:paraId="0ACC3CE9" w14:textId="153BC7CE" w:rsidR="005767EC" w:rsidRPr="005767EC" w:rsidRDefault="005767EC" w:rsidP="005767EC">
          <w:pPr>
            <w:jc w:val="both"/>
            <w:rPr>
              <w:rFonts w:ascii="Times New Roman" w:hAnsi="Times New Roman" w:cs="Times New Roman"/>
              <w:sz w:val="24"/>
              <w:szCs w:val="24"/>
              <w:lang w:val="en-US"/>
            </w:rPr>
          </w:pPr>
          <w:r w:rsidRPr="005767EC">
            <w:rPr>
              <w:rFonts w:ascii="Times New Roman" w:hAnsi="Times New Roman" w:cs="Times New Roman"/>
              <w:sz w:val="24"/>
              <w:szCs w:val="24"/>
              <w:lang w:val="en-US"/>
            </w:rPr>
            <w:t xml:space="preserve">John Asker, Joan </w:t>
          </w:r>
          <w:proofErr w:type="spellStart"/>
          <w:r w:rsidRPr="005767EC">
            <w:rPr>
              <w:rFonts w:ascii="Times New Roman" w:hAnsi="Times New Roman" w:cs="Times New Roman"/>
              <w:sz w:val="24"/>
              <w:szCs w:val="24"/>
              <w:lang w:val="en-US"/>
            </w:rPr>
            <w:t>Farre</w:t>
          </w:r>
          <w:proofErr w:type="spellEnd"/>
          <w:r w:rsidRPr="005767EC">
            <w:rPr>
              <w:rFonts w:ascii="Times New Roman" w:hAnsi="Times New Roman" w:cs="Times New Roman"/>
              <w:sz w:val="24"/>
              <w:szCs w:val="24"/>
              <w:lang w:val="en-US"/>
            </w:rPr>
            <w:t xml:space="preserve">-Mensa &amp; Alexander </w:t>
          </w:r>
          <w:proofErr w:type="spellStart"/>
          <w:r w:rsidRPr="005767EC">
            <w:rPr>
              <w:rFonts w:ascii="Times New Roman" w:hAnsi="Times New Roman" w:cs="Times New Roman"/>
              <w:sz w:val="24"/>
              <w:szCs w:val="24"/>
              <w:lang w:val="en-US"/>
            </w:rPr>
            <w:t>Ljungqvist</w:t>
          </w:r>
          <w:proofErr w:type="spellEnd"/>
          <w:r w:rsidRPr="005767EC">
            <w:rPr>
              <w:rFonts w:ascii="Times New Roman" w:hAnsi="Times New Roman" w:cs="Times New Roman"/>
              <w:sz w:val="24"/>
              <w:szCs w:val="24"/>
              <w:lang w:val="en-US"/>
            </w:rPr>
            <w:t>, Corporate</w:t>
          </w:r>
          <w:r>
            <w:rPr>
              <w:rFonts w:ascii="Times New Roman" w:hAnsi="Times New Roman" w:cs="Times New Roman"/>
              <w:sz w:val="24"/>
              <w:szCs w:val="24"/>
              <w:lang w:val="en-US"/>
            </w:rPr>
            <w:t xml:space="preserve"> </w:t>
          </w:r>
          <w:r w:rsidRPr="005767EC">
            <w:rPr>
              <w:rFonts w:ascii="Times New Roman" w:hAnsi="Times New Roman" w:cs="Times New Roman"/>
              <w:sz w:val="24"/>
              <w:szCs w:val="24"/>
              <w:lang w:val="en-US"/>
            </w:rPr>
            <w:t>Investment and Stock Market Listing: A Puzzle (Apr. 22, 2013) (unpublished manuscript) (available</w:t>
          </w:r>
          <w:r>
            <w:rPr>
              <w:rFonts w:ascii="Times New Roman" w:hAnsi="Times New Roman" w:cs="Times New Roman"/>
              <w:sz w:val="24"/>
              <w:szCs w:val="24"/>
              <w:lang w:val="en-US"/>
            </w:rPr>
            <w:t xml:space="preserve"> </w:t>
          </w:r>
          <w:r w:rsidRPr="005767EC">
            <w:rPr>
              <w:rFonts w:ascii="Times New Roman" w:hAnsi="Times New Roman" w:cs="Times New Roman"/>
              <w:sz w:val="24"/>
              <w:szCs w:val="24"/>
              <w:lang w:val="en-US"/>
            </w:rPr>
            <w:t xml:space="preserve">at </w:t>
          </w:r>
          <w:r w:rsidR="009F38D8">
            <w:fldChar w:fldCharType="begin"/>
          </w:r>
          <w:r w:rsidR="009F38D8" w:rsidRPr="00794439">
            <w:rPr>
              <w:lang w:val="en-US"/>
            </w:rPr>
            <w:instrText xml:space="preserve"> HYPERLINK "http:/</w:instrText>
          </w:r>
          <w:r w:rsidR="009F38D8" w:rsidRPr="00794439">
            <w:rPr>
              <w:lang w:val="en-US"/>
            </w:rPr>
            <w:instrText xml:space="preserve">/www.ssrn.com/abstract=1603484" </w:instrText>
          </w:r>
          <w:r w:rsidR="009F38D8">
            <w:fldChar w:fldCharType="separate"/>
          </w:r>
          <w:r w:rsidRPr="005767EC">
            <w:rPr>
              <w:rStyle w:val="Hyperlink"/>
              <w:rFonts w:ascii="Times New Roman" w:hAnsi="Times New Roman" w:cs="Times New Roman"/>
              <w:sz w:val="24"/>
              <w:szCs w:val="24"/>
              <w:lang w:val="en-US"/>
            </w:rPr>
            <w:t>www.ssrn.com/abstract=1603484</w:t>
          </w:r>
          <w:r w:rsidR="009F38D8">
            <w:rPr>
              <w:rStyle w:val="Hyperlink"/>
              <w:rFonts w:ascii="Times New Roman" w:hAnsi="Times New Roman" w:cs="Times New Roman"/>
              <w:sz w:val="24"/>
              <w:szCs w:val="24"/>
              <w:lang w:val="en-US"/>
            </w:rPr>
            <w:fldChar w:fldCharType="end"/>
          </w:r>
          <w:r w:rsidRPr="005767EC">
            <w:rPr>
              <w:rFonts w:ascii="Times New Roman" w:hAnsi="Times New Roman" w:cs="Times New Roman"/>
              <w:sz w:val="24"/>
              <w:szCs w:val="24"/>
              <w:lang w:val="en-US"/>
            </w:rPr>
            <w:t>).</w:t>
          </w:r>
        </w:p>
        <w:p w14:paraId="22BDF6D8" w14:textId="77777777" w:rsidR="008C5ABC" w:rsidRPr="003C11C0" w:rsidRDefault="007143E6" w:rsidP="007143E6">
          <w:pPr>
            <w:jc w:val="both"/>
            <w:rPr>
              <w:rFonts w:ascii="Times New Roman" w:hAnsi="Times New Roman"/>
            </w:rPr>
          </w:pPr>
          <w:r w:rsidRPr="006516E0">
            <w:rPr>
              <w:rFonts w:ascii="Times New Roman" w:hAnsi="Times New Roman" w:cs="Times New Roman"/>
              <w:sz w:val="24"/>
              <w:szCs w:val="24"/>
              <w:lang w:val="en-US"/>
            </w:rPr>
            <w:t xml:space="preserve">Bair, S. 2011. Lessons of the financial crisis: The dangers of short-termism. Remarks to the National Press Club, Washington, D.C. June 24. </w:t>
          </w:r>
          <w:r w:rsidRPr="006516E0">
            <w:rPr>
              <w:rFonts w:ascii="Times New Roman" w:hAnsi="Times New Roman" w:cs="Times New Roman"/>
              <w:sz w:val="24"/>
              <w:szCs w:val="24"/>
              <w:lang w:val="en-US"/>
            </w:rPr>
            <w:cr/>
          </w:r>
          <w:r w:rsidRPr="003C11C0">
            <w:rPr>
              <w:rFonts w:ascii="Times New Roman" w:hAnsi="Times New Roman"/>
              <w:lang w:val="en-US"/>
            </w:rPr>
            <w:t xml:space="preserve"> </w:t>
          </w:r>
          <w:r w:rsidR="009F38D8">
            <w:fldChar w:fldCharType="begin"/>
          </w:r>
          <w:r w:rsidR="009F38D8" w:rsidRPr="00794439">
            <w:rPr>
              <w:lang w:val="en-US"/>
            </w:rPr>
            <w:instrText xml:space="preserve"> HYPERLINK "http://blogs.law.harvard.edu/corpgov/2011/07/04/lessons-of-the-financial-crisis-the-dangers-of-short-termism/" </w:instrText>
          </w:r>
          <w:r w:rsidR="009F38D8">
            <w:fldChar w:fldCharType="separate"/>
          </w:r>
          <w:r w:rsidRPr="003C11C0">
            <w:rPr>
              <w:rFonts w:ascii="Times New Roman" w:hAnsi="Times New Roman"/>
              <w:color w:val="0000FF"/>
              <w:u w:val="single"/>
            </w:rPr>
            <w:t>http://blogs.law.harvard.edu/corpgov/2011/07/04/lessons-of-the-financial-crisis-the-dangers-of-short-termism/</w:t>
          </w:r>
          <w:r w:rsidR="009F38D8">
            <w:rPr>
              <w:rFonts w:ascii="Times New Roman" w:hAnsi="Times New Roman"/>
              <w:color w:val="0000FF"/>
              <w:u w:val="single"/>
            </w:rPr>
            <w:fldChar w:fldCharType="end"/>
          </w:r>
          <w:r w:rsidRPr="003C11C0">
            <w:rPr>
              <w:rFonts w:ascii="Times New Roman" w:hAnsi="Times New Roman"/>
            </w:rPr>
            <w:t>.</w:t>
          </w:r>
        </w:p>
        <w:p w14:paraId="6CB39076" w14:textId="77777777" w:rsidR="00BB5755" w:rsidRPr="003C11C0" w:rsidRDefault="00BB5755" w:rsidP="007143E6">
          <w:pPr>
            <w:jc w:val="both"/>
            <w:rPr>
              <w:rFonts w:ascii="Times New Roman" w:hAnsi="Times New Roman"/>
              <w:sz w:val="24"/>
              <w:szCs w:val="24"/>
              <w:lang w:val="en-US"/>
            </w:rPr>
          </w:pPr>
          <w:proofErr w:type="spellStart"/>
          <w:r w:rsidRPr="003C11C0">
            <w:rPr>
              <w:rFonts w:ascii="Times New Roman" w:hAnsi="Times New Roman"/>
              <w:sz w:val="24"/>
              <w:szCs w:val="24"/>
              <w:lang w:val="en-US"/>
            </w:rPr>
            <w:t>Bereskin</w:t>
          </w:r>
          <w:proofErr w:type="spellEnd"/>
          <w:r w:rsidRPr="003C11C0">
            <w:rPr>
              <w:rFonts w:ascii="Times New Roman" w:hAnsi="Times New Roman"/>
              <w:sz w:val="24"/>
              <w:szCs w:val="24"/>
              <w:lang w:val="en-US"/>
            </w:rPr>
            <w:t>, Frederick L. and Hsu, Po-</w:t>
          </w:r>
          <w:proofErr w:type="spellStart"/>
          <w:r w:rsidRPr="003C11C0">
            <w:rPr>
              <w:rFonts w:ascii="Times New Roman" w:hAnsi="Times New Roman"/>
              <w:sz w:val="24"/>
              <w:szCs w:val="24"/>
              <w:lang w:val="en-US"/>
            </w:rPr>
            <w:t>Hsuan</w:t>
          </w:r>
          <w:proofErr w:type="spellEnd"/>
          <w:r w:rsidRPr="003C11C0">
            <w:rPr>
              <w:rFonts w:ascii="Times New Roman" w:hAnsi="Times New Roman"/>
              <w:sz w:val="24"/>
              <w:szCs w:val="24"/>
              <w:lang w:val="en-US"/>
            </w:rPr>
            <w:t xml:space="preserve">, Bringing in Changes: The Effect of New CEOs on Innovation (October 24, 2013). </w:t>
          </w:r>
          <w:proofErr w:type="gramStart"/>
          <w:r w:rsidRPr="003C11C0">
            <w:rPr>
              <w:rFonts w:ascii="Times New Roman" w:hAnsi="Times New Roman"/>
              <w:sz w:val="24"/>
              <w:szCs w:val="24"/>
              <w:lang w:val="en-US"/>
            </w:rPr>
            <w:t>Paris December 2011 Finance Meeting EUROFIDAI - AFFI.</w:t>
          </w:r>
          <w:proofErr w:type="gramEnd"/>
          <w:r w:rsidRPr="003C11C0">
            <w:rPr>
              <w:rFonts w:ascii="Times New Roman" w:hAnsi="Times New Roman"/>
              <w:sz w:val="24"/>
              <w:szCs w:val="24"/>
              <w:lang w:val="en-US"/>
            </w:rPr>
            <w:t xml:space="preserve"> Available at SSRN: http://ssrn.com/abstract=1944047 or http://dx.doi.org/10.2139/ssrn.1944047.</w:t>
          </w:r>
        </w:p>
        <w:p w14:paraId="3FB9F075" w14:textId="77777777" w:rsidR="006A5681" w:rsidRPr="003C11C0" w:rsidRDefault="006A5681" w:rsidP="007143E6">
          <w:pPr>
            <w:jc w:val="both"/>
            <w:rPr>
              <w:rFonts w:ascii="Times New Roman" w:hAnsi="Times New Roman"/>
              <w:sz w:val="24"/>
              <w:szCs w:val="24"/>
              <w:lang w:val="en-US"/>
            </w:rPr>
          </w:pPr>
          <w:proofErr w:type="spellStart"/>
          <w:r w:rsidRPr="003C11C0">
            <w:rPr>
              <w:rFonts w:ascii="Times New Roman" w:hAnsi="Times New Roman"/>
              <w:sz w:val="24"/>
              <w:szCs w:val="24"/>
              <w:lang w:val="en-US"/>
            </w:rPr>
            <w:t>Brickley</w:t>
          </w:r>
          <w:proofErr w:type="spellEnd"/>
          <w:r w:rsidRPr="003C11C0">
            <w:rPr>
              <w:rFonts w:ascii="Times New Roman" w:hAnsi="Times New Roman"/>
              <w:sz w:val="24"/>
              <w:szCs w:val="24"/>
              <w:lang w:val="en-US"/>
            </w:rPr>
            <w:t xml:space="preserve">, James A., Empirical Research on CEO Turnover and Firm-Performance: A Discussion. Journal of Accounting &amp; Economics, Vol. 36, Nos. 1-3, pp. 227-233, December 2003. Available at SSRN: </w:t>
          </w:r>
          <w:r w:rsidR="009F38D8">
            <w:fldChar w:fldCharType="begin"/>
          </w:r>
          <w:r w:rsidR="009F38D8" w:rsidRPr="00794439">
            <w:rPr>
              <w:lang w:val="en-US"/>
            </w:rPr>
            <w:instrText xml:space="preserve"> HYPERLINK "http://ssrn.com/abstract=473881" </w:instrText>
          </w:r>
          <w:r w:rsidR="009F38D8">
            <w:fldChar w:fldCharType="separate"/>
          </w:r>
          <w:r w:rsidRPr="003C11C0">
            <w:rPr>
              <w:rStyle w:val="Hyperlink"/>
              <w:rFonts w:ascii="Times New Roman" w:hAnsi="Times New Roman"/>
              <w:sz w:val="24"/>
              <w:szCs w:val="24"/>
              <w:lang w:val="en-US"/>
            </w:rPr>
            <w:t>http://ssrn.com/abstract=473881</w:t>
          </w:r>
          <w:r w:rsidR="009F38D8">
            <w:rPr>
              <w:rStyle w:val="Hyperlink"/>
              <w:rFonts w:ascii="Times New Roman" w:hAnsi="Times New Roman"/>
              <w:sz w:val="24"/>
              <w:szCs w:val="24"/>
              <w:lang w:val="en-US"/>
            </w:rPr>
            <w:fldChar w:fldCharType="end"/>
          </w:r>
          <w:r w:rsidRPr="003C11C0">
            <w:rPr>
              <w:rFonts w:ascii="Times New Roman" w:hAnsi="Times New Roman"/>
              <w:sz w:val="24"/>
              <w:szCs w:val="24"/>
              <w:lang w:val="en-US"/>
            </w:rPr>
            <w:t>.</w:t>
          </w:r>
        </w:p>
        <w:p w14:paraId="5B4AA06E" w14:textId="77777777" w:rsidR="002D76EE" w:rsidRDefault="002D76EE" w:rsidP="007143E6">
          <w:pPr>
            <w:jc w:val="both"/>
            <w:rPr>
              <w:rFonts w:ascii="Times New Roman" w:hAnsi="Times New Roman"/>
              <w:sz w:val="24"/>
              <w:szCs w:val="24"/>
              <w:lang w:val="en-US"/>
            </w:rPr>
          </w:pPr>
          <w:proofErr w:type="spellStart"/>
          <w:r w:rsidRPr="003C11C0">
            <w:rPr>
              <w:rFonts w:ascii="Times New Roman" w:hAnsi="Times New Roman"/>
              <w:sz w:val="24"/>
              <w:szCs w:val="24"/>
              <w:lang w:val="en-US"/>
            </w:rPr>
            <w:t>Cremers</w:t>
          </w:r>
          <w:proofErr w:type="spellEnd"/>
          <w:r w:rsidRPr="003C11C0">
            <w:rPr>
              <w:rFonts w:ascii="Times New Roman" w:hAnsi="Times New Roman"/>
              <w:sz w:val="24"/>
              <w:szCs w:val="24"/>
              <w:lang w:val="en-US"/>
            </w:rPr>
            <w:t xml:space="preserve">, </w:t>
          </w:r>
          <w:proofErr w:type="spellStart"/>
          <w:r w:rsidRPr="003C11C0">
            <w:rPr>
              <w:rFonts w:ascii="Times New Roman" w:hAnsi="Times New Roman"/>
              <w:sz w:val="24"/>
              <w:szCs w:val="24"/>
              <w:lang w:val="en-US"/>
            </w:rPr>
            <w:t>Martijn</w:t>
          </w:r>
          <w:proofErr w:type="spellEnd"/>
          <w:r w:rsidRPr="003C11C0">
            <w:rPr>
              <w:rFonts w:ascii="Times New Roman" w:hAnsi="Times New Roman"/>
              <w:sz w:val="24"/>
              <w:szCs w:val="24"/>
              <w:lang w:val="en-US"/>
            </w:rPr>
            <w:t xml:space="preserve"> and </w:t>
          </w:r>
          <w:proofErr w:type="spellStart"/>
          <w:r w:rsidRPr="003C11C0">
            <w:rPr>
              <w:rFonts w:ascii="Times New Roman" w:hAnsi="Times New Roman"/>
              <w:sz w:val="24"/>
              <w:szCs w:val="24"/>
              <w:lang w:val="en-US"/>
            </w:rPr>
            <w:t>Pareek</w:t>
          </w:r>
          <w:proofErr w:type="spellEnd"/>
          <w:r w:rsidRPr="003C11C0">
            <w:rPr>
              <w:rFonts w:ascii="Times New Roman" w:hAnsi="Times New Roman"/>
              <w:sz w:val="24"/>
              <w:szCs w:val="24"/>
              <w:lang w:val="en-US"/>
            </w:rPr>
            <w:t xml:space="preserve">, </w:t>
          </w:r>
          <w:proofErr w:type="spellStart"/>
          <w:r w:rsidRPr="003C11C0">
            <w:rPr>
              <w:rFonts w:ascii="Times New Roman" w:hAnsi="Times New Roman"/>
              <w:sz w:val="24"/>
              <w:szCs w:val="24"/>
              <w:lang w:val="en-US"/>
            </w:rPr>
            <w:t>Ankur</w:t>
          </w:r>
          <w:proofErr w:type="spellEnd"/>
          <w:r w:rsidRPr="003C11C0">
            <w:rPr>
              <w:rFonts w:ascii="Times New Roman" w:hAnsi="Times New Roman"/>
              <w:sz w:val="24"/>
              <w:szCs w:val="24"/>
              <w:lang w:val="en-US"/>
            </w:rPr>
            <w:t xml:space="preserve"> and </w:t>
          </w:r>
          <w:proofErr w:type="spellStart"/>
          <w:r w:rsidRPr="003C11C0">
            <w:rPr>
              <w:rFonts w:ascii="Times New Roman" w:hAnsi="Times New Roman"/>
              <w:sz w:val="24"/>
              <w:szCs w:val="24"/>
              <w:lang w:val="en-US"/>
            </w:rPr>
            <w:t>Sautner</w:t>
          </w:r>
          <w:proofErr w:type="spellEnd"/>
          <w:r w:rsidRPr="003C11C0">
            <w:rPr>
              <w:rFonts w:ascii="Times New Roman" w:hAnsi="Times New Roman"/>
              <w:sz w:val="24"/>
              <w:szCs w:val="24"/>
              <w:lang w:val="en-US"/>
            </w:rPr>
            <w:t xml:space="preserve">, Zacharias, Stock Duration and </w:t>
          </w:r>
          <w:proofErr w:type="spellStart"/>
          <w:r w:rsidRPr="003C11C0">
            <w:rPr>
              <w:rFonts w:ascii="Times New Roman" w:hAnsi="Times New Roman"/>
              <w:sz w:val="24"/>
              <w:szCs w:val="24"/>
              <w:lang w:val="en-US"/>
            </w:rPr>
            <w:t>Misvaluation</w:t>
          </w:r>
          <w:proofErr w:type="spellEnd"/>
          <w:r w:rsidRPr="003C11C0">
            <w:rPr>
              <w:rFonts w:ascii="Times New Roman" w:hAnsi="Times New Roman"/>
              <w:sz w:val="24"/>
              <w:szCs w:val="24"/>
              <w:lang w:val="en-US"/>
            </w:rPr>
            <w:t xml:space="preserve"> (September 19, 2013). Available at SSRN: </w:t>
          </w:r>
          <w:r w:rsidR="009F38D8">
            <w:fldChar w:fldCharType="begin"/>
          </w:r>
          <w:r w:rsidR="009F38D8" w:rsidRPr="00794439">
            <w:rPr>
              <w:lang w:val="en-US"/>
            </w:rPr>
            <w:instrText xml:space="preserve"> HYPERLINK "http://ssrn.com/abstract=2190437" </w:instrText>
          </w:r>
          <w:r w:rsidR="009F38D8">
            <w:fldChar w:fldCharType="separate"/>
          </w:r>
          <w:r w:rsidR="00082C9F" w:rsidRPr="003C11C0">
            <w:rPr>
              <w:rStyle w:val="Hyperlink"/>
              <w:rFonts w:ascii="Times New Roman" w:hAnsi="Times New Roman"/>
              <w:sz w:val="24"/>
              <w:szCs w:val="24"/>
              <w:lang w:val="en-US"/>
            </w:rPr>
            <w:t>http://ssrn.com/abstract=2190437</w:t>
          </w:r>
          <w:r w:rsidR="009F38D8">
            <w:rPr>
              <w:rStyle w:val="Hyperlink"/>
              <w:rFonts w:ascii="Times New Roman" w:hAnsi="Times New Roman"/>
              <w:sz w:val="24"/>
              <w:szCs w:val="24"/>
              <w:lang w:val="en-US"/>
            </w:rPr>
            <w:fldChar w:fldCharType="end"/>
          </w:r>
          <w:r w:rsidR="00082C9F" w:rsidRPr="003C11C0">
            <w:rPr>
              <w:rFonts w:ascii="Times New Roman" w:hAnsi="Times New Roman"/>
              <w:sz w:val="24"/>
              <w:szCs w:val="24"/>
              <w:lang w:val="en-US"/>
            </w:rPr>
            <w:t xml:space="preserve">. </w:t>
          </w:r>
        </w:p>
        <w:p w14:paraId="17759AC9" w14:textId="4D5EE7FC" w:rsidR="002C252A" w:rsidRDefault="002C252A" w:rsidP="002C252A">
          <w:pPr>
            <w:jc w:val="both"/>
            <w:rPr>
              <w:rFonts w:ascii="Times New Roman" w:hAnsi="Times New Roman"/>
              <w:sz w:val="24"/>
              <w:szCs w:val="24"/>
              <w:lang w:val="en-US"/>
            </w:rPr>
          </w:pPr>
          <w:r w:rsidRPr="002C252A">
            <w:rPr>
              <w:rFonts w:ascii="Times New Roman" w:hAnsi="Times New Roman"/>
              <w:sz w:val="24"/>
              <w:szCs w:val="24"/>
              <w:lang w:val="en-US"/>
            </w:rPr>
            <w:t xml:space="preserve">Francois </w:t>
          </w:r>
          <w:proofErr w:type="spellStart"/>
          <w:r w:rsidRPr="002C252A">
            <w:rPr>
              <w:rFonts w:ascii="Times New Roman" w:hAnsi="Times New Roman"/>
              <w:sz w:val="24"/>
              <w:szCs w:val="24"/>
              <w:lang w:val="en-US"/>
            </w:rPr>
            <w:t>Derrien</w:t>
          </w:r>
          <w:proofErr w:type="spellEnd"/>
          <w:r w:rsidRPr="002C252A">
            <w:rPr>
              <w:rFonts w:ascii="Times New Roman" w:hAnsi="Times New Roman"/>
              <w:sz w:val="24"/>
              <w:szCs w:val="24"/>
              <w:lang w:val="en-US"/>
            </w:rPr>
            <w:t xml:space="preserve">, </w:t>
          </w:r>
          <w:proofErr w:type="spellStart"/>
          <w:r w:rsidRPr="002C252A">
            <w:rPr>
              <w:rFonts w:ascii="Times New Roman" w:hAnsi="Times New Roman"/>
              <w:sz w:val="24"/>
              <w:szCs w:val="24"/>
              <w:lang w:val="en-US"/>
            </w:rPr>
            <w:t>Ambrus</w:t>
          </w:r>
          <w:proofErr w:type="spellEnd"/>
          <w:r w:rsidRPr="002C252A">
            <w:rPr>
              <w:rFonts w:ascii="Times New Roman" w:hAnsi="Times New Roman"/>
              <w:sz w:val="24"/>
              <w:szCs w:val="24"/>
              <w:lang w:val="en-US"/>
            </w:rPr>
            <w:t xml:space="preserve"> </w:t>
          </w:r>
          <w:proofErr w:type="spellStart"/>
          <w:r w:rsidRPr="002C252A">
            <w:rPr>
              <w:rFonts w:ascii="Times New Roman" w:hAnsi="Times New Roman"/>
              <w:sz w:val="24"/>
              <w:szCs w:val="24"/>
              <w:lang w:val="en-US"/>
            </w:rPr>
            <w:t>Keckes</w:t>
          </w:r>
          <w:proofErr w:type="spellEnd"/>
          <w:r w:rsidRPr="002C252A">
            <w:rPr>
              <w:rFonts w:ascii="Times New Roman" w:hAnsi="Times New Roman"/>
              <w:sz w:val="24"/>
              <w:szCs w:val="24"/>
              <w:lang w:val="en-US"/>
            </w:rPr>
            <w:t xml:space="preserve"> &amp; David </w:t>
          </w:r>
          <w:proofErr w:type="spellStart"/>
          <w:r w:rsidRPr="002C252A">
            <w:rPr>
              <w:rFonts w:ascii="Times New Roman" w:hAnsi="Times New Roman"/>
              <w:sz w:val="24"/>
              <w:szCs w:val="24"/>
              <w:lang w:val="en-US"/>
            </w:rPr>
            <w:t>Thesmar</w:t>
          </w:r>
          <w:proofErr w:type="spellEnd"/>
          <w:r w:rsidRPr="002C252A">
            <w:rPr>
              <w:rFonts w:ascii="Times New Roman" w:hAnsi="Times New Roman"/>
              <w:sz w:val="24"/>
              <w:szCs w:val="24"/>
              <w:lang w:val="en-US"/>
            </w:rPr>
            <w:t>, Investor Horizons and Corporate Policies,</w:t>
          </w:r>
          <w:r>
            <w:rPr>
              <w:rFonts w:ascii="Times New Roman" w:hAnsi="Times New Roman"/>
              <w:sz w:val="24"/>
              <w:szCs w:val="24"/>
              <w:lang w:val="en-US"/>
            </w:rPr>
            <w:t xml:space="preserve"> </w:t>
          </w:r>
          <w:r w:rsidRPr="002C252A">
            <w:rPr>
              <w:rFonts w:ascii="Times New Roman" w:hAnsi="Times New Roman"/>
              <w:sz w:val="24"/>
              <w:szCs w:val="24"/>
              <w:lang w:val="en-US"/>
            </w:rPr>
            <w:t>J</w:t>
          </w:r>
          <w:r>
            <w:rPr>
              <w:rFonts w:ascii="Times New Roman" w:hAnsi="Times New Roman"/>
              <w:sz w:val="24"/>
              <w:szCs w:val="24"/>
              <w:lang w:val="en-US"/>
            </w:rPr>
            <w:t xml:space="preserve">ournal of </w:t>
          </w:r>
          <w:r w:rsidRPr="002C252A">
            <w:rPr>
              <w:rFonts w:ascii="Times New Roman" w:hAnsi="Times New Roman"/>
              <w:sz w:val="24"/>
              <w:szCs w:val="24"/>
              <w:lang w:val="en-US"/>
            </w:rPr>
            <w:t>Fin</w:t>
          </w:r>
          <w:r>
            <w:rPr>
              <w:rFonts w:ascii="Times New Roman" w:hAnsi="Times New Roman"/>
              <w:sz w:val="24"/>
              <w:szCs w:val="24"/>
              <w:lang w:val="en-US"/>
            </w:rPr>
            <w:t>ancial and</w:t>
          </w:r>
          <w:r w:rsidRPr="002C252A">
            <w:rPr>
              <w:rFonts w:ascii="Times New Roman" w:hAnsi="Times New Roman"/>
              <w:sz w:val="24"/>
              <w:szCs w:val="24"/>
              <w:lang w:val="en-US"/>
            </w:rPr>
            <w:t xml:space="preserve"> Quantitative Analysis (forthcoming), </w:t>
          </w:r>
          <w:r w:rsidR="009F38D8">
            <w:fldChar w:fldCharType="begin"/>
          </w:r>
          <w:r w:rsidR="009F38D8" w:rsidRPr="00794439">
            <w:rPr>
              <w:lang w:val="en-US"/>
            </w:rPr>
            <w:instrText xml:space="preserve"> HYPERLINK "http://www.ssrn.com/abstract=1491638" </w:instrText>
          </w:r>
          <w:r w:rsidR="009F38D8">
            <w:fldChar w:fldCharType="separate"/>
          </w:r>
          <w:r w:rsidRPr="008863D8">
            <w:rPr>
              <w:rStyle w:val="Hyperlink"/>
              <w:rFonts w:ascii="Times New Roman" w:hAnsi="Times New Roman"/>
              <w:sz w:val="24"/>
              <w:szCs w:val="24"/>
              <w:lang w:val="en-US"/>
            </w:rPr>
            <w:t>www.ssrn.com/abstract=1491638</w:t>
          </w:r>
          <w:r w:rsidR="009F38D8">
            <w:rPr>
              <w:rStyle w:val="Hyperlink"/>
              <w:rFonts w:ascii="Times New Roman" w:hAnsi="Times New Roman"/>
              <w:sz w:val="24"/>
              <w:szCs w:val="24"/>
              <w:lang w:val="en-US"/>
            </w:rPr>
            <w:fldChar w:fldCharType="end"/>
          </w:r>
        </w:p>
        <w:p w14:paraId="58F97353" w14:textId="77777777" w:rsidR="00F71597" w:rsidRPr="004D76E4" w:rsidRDefault="00F71597" w:rsidP="00F71597">
          <w:pPr>
            <w:jc w:val="both"/>
            <w:rPr>
              <w:rFonts w:ascii="Times New Roman" w:hAnsi="Times New Roman" w:cs="Times New Roman"/>
              <w:sz w:val="24"/>
              <w:szCs w:val="24"/>
              <w:lang w:val="en-US"/>
            </w:rPr>
          </w:pPr>
          <w:r w:rsidRPr="004D76E4">
            <w:rPr>
              <w:rFonts w:ascii="Times New Roman" w:hAnsi="Times New Roman" w:cs="Times New Roman"/>
              <w:sz w:val="24"/>
              <w:szCs w:val="24"/>
              <w:lang w:val="en-US"/>
            </w:rPr>
            <w:t>Hansmann, Henry and Thomsen, Steen Managerial Distance and Virtual Ownership: The Governance of Industrial Foundations (March 2013). Available at SSRN: http://ssrn.com/abstract=2246116.</w:t>
          </w:r>
        </w:p>
        <w:p w14:paraId="74CA2F69" w14:textId="77777777" w:rsidR="00F71597" w:rsidRPr="006516E0" w:rsidRDefault="00F71597" w:rsidP="00F71597">
          <w:pPr>
            <w:jc w:val="both"/>
            <w:rPr>
              <w:rFonts w:ascii="Times New Roman" w:hAnsi="Times New Roman" w:cs="Times New Roman"/>
              <w:sz w:val="24"/>
              <w:szCs w:val="24"/>
              <w:lang w:val="en-US"/>
            </w:rPr>
          </w:pPr>
          <w:r w:rsidRPr="00C21C9F">
            <w:rPr>
              <w:rFonts w:ascii="Times New Roman" w:hAnsi="Times New Roman" w:cs="Times New Roman"/>
              <w:sz w:val="24"/>
              <w:szCs w:val="24"/>
              <w:lang w:val="en-US"/>
            </w:rPr>
            <w:t>Hansmann, Henry and Thomsen, Steen. 2011. The Performance of Foundation-Owned Companies. Paper presented to the RICF Conference on “Frontiers in Corporate Finance and Corporate Gover</w:t>
          </w:r>
          <w:r w:rsidRPr="006516E0">
            <w:rPr>
              <w:rFonts w:ascii="Times New Roman" w:hAnsi="Times New Roman" w:cs="Times New Roman"/>
              <w:sz w:val="24"/>
              <w:szCs w:val="24"/>
              <w:lang w:val="en-US"/>
            </w:rPr>
            <w:t>nance” Development Bank of Japan</w:t>
          </w:r>
          <w:proofErr w:type="gramStart"/>
          <w:r w:rsidRPr="006516E0">
            <w:rPr>
              <w:rFonts w:ascii="Times New Roman" w:hAnsi="Times New Roman" w:cs="Times New Roman"/>
              <w:sz w:val="24"/>
              <w:szCs w:val="24"/>
              <w:lang w:val="en-US"/>
            </w:rPr>
            <w:t>,18</w:t>
          </w:r>
          <w:proofErr w:type="gramEnd"/>
          <w:r w:rsidRPr="006516E0">
            <w:rPr>
              <w:rFonts w:ascii="Times New Roman" w:hAnsi="Times New Roman" w:cs="Times New Roman"/>
              <w:sz w:val="24"/>
              <w:szCs w:val="24"/>
              <w:lang w:val="en-US"/>
            </w:rPr>
            <w:t xml:space="preserve"> November 2011, and to the Department of Banking and Finance, University of </w:t>
          </w:r>
          <w:proofErr w:type="spellStart"/>
          <w:r w:rsidRPr="006516E0">
            <w:rPr>
              <w:rFonts w:ascii="Times New Roman" w:hAnsi="Times New Roman" w:cs="Times New Roman"/>
              <w:sz w:val="24"/>
              <w:szCs w:val="24"/>
              <w:lang w:val="en-US"/>
            </w:rPr>
            <w:t>Chulalongkorn</w:t>
          </w:r>
          <w:proofErr w:type="spellEnd"/>
          <w:r w:rsidRPr="006516E0">
            <w:rPr>
              <w:rFonts w:ascii="Times New Roman" w:hAnsi="Times New Roman" w:cs="Times New Roman"/>
              <w:sz w:val="24"/>
              <w:szCs w:val="24"/>
              <w:lang w:val="en-US"/>
            </w:rPr>
            <w:t>, 21-3-2013, Workshop on Accountability and Responsibility of Corporate Ownership, 9-10 May 2013.</w:t>
          </w:r>
        </w:p>
        <w:p w14:paraId="0B89BD71" w14:textId="77777777" w:rsidR="007B4ADD" w:rsidRPr="006516E0" w:rsidRDefault="007B4ADD" w:rsidP="007B4ADD">
          <w:pPr>
            <w:jc w:val="both"/>
            <w:rPr>
              <w:rFonts w:ascii="Times New Roman" w:hAnsi="Times New Roman" w:cs="Times New Roman"/>
              <w:sz w:val="24"/>
              <w:szCs w:val="24"/>
              <w:lang w:val="en-US"/>
            </w:rPr>
          </w:pPr>
          <w:proofErr w:type="spellStart"/>
          <w:r w:rsidRPr="006516E0">
            <w:rPr>
              <w:rFonts w:ascii="Times New Roman" w:hAnsi="Times New Roman" w:cs="Times New Roman"/>
              <w:sz w:val="24"/>
              <w:szCs w:val="24"/>
              <w:lang w:val="en-US"/>
            </w:rPr>
            <w:lastRenderedPageBreak/>
            <w:t>Jenter</w:t>
          </w:r>
          <w:proofErr w:type="spellEnd"/>
          <w:r w:rsidRPr="006516E0">
            <w:rPr>
              <w:rFonts w:ascii="Times New Roman" w:hAnsi="Times New Roman" w:cs="Times New Roman"/>
              <w:sz w:val="24"/>
              <w:szCs w:val="24"/>
              <w:lang w:val="en-US"/>
            </w:rPr>
            <w:t xml:space="preserve">, Dirk, and Katharina </w:t>
          </w:r>
          <w:proofErr w:type="spellStart"/>
          <w:r w:rsidRPr="006516E0">
            <w:rPr>
              <w:rFonts w:ascii="Times New Roman" w:hAnsi="Times New Roman" w:cs="Times New Roman"/>
              <w:sz w:val="24"/>
              <w:szCs w:val="24"/>
              <w:lang w:val="en-US"/>
            </w:rPr>
            <w:t>Lewellen</w:t>
          </w:r>
          <w:proofErr w:type="spellEnd"/>
          <w:r w:rsidRPr="006516E0">
            <w:rPr>
              <w:rFonts w:ascii="Times New Roman" w:hAnsi="Times New Roman" w:cs="Times New Roman"/>
              <w:sz w:val="24"/>
              <w:szCs w:val="24"/>
              <w:lang w:val="en-US"/>
            </w:rPr>
            <w:t xml:space="preserve">, 2010. </w:t>
          </w:r>
          <w:proofErr w:type="gramStart"/>
          <w:r w:rsidRPr="006516E0">
            <w:rPr>
              <w:rFonts w:ascii="Times New Roman" w:hAnsi="Times New Roman" w:cs="Times New Roman"/>
              <w:sz w:val="24"/>
              <w:szCs w:val="24"/>
              <w:lang w:val="en-US"/>
            </w:rPr>
            <w:t>Performance-induced CEO turnover, Stanford University.</w:t>
          </w:r>
          <w:proofErr w:type="gramEnd"/>
          <w:r w:rsidRPr="006516E0">
            <w:rPr>
              <w:rFonts w:ascii="Times New Roman" w:hAnsi="Times New Roman" w:cs="Times New Roman"/>
              <w:sz w:val="24"/>
              <w:szCs w:val="24"/>
              <w:lang w:val="en-US"/>
            </w:rPr>
            <w:t xml:space="preserve"> Working paper.</w:t>
          </w:r>
        </w:p>
        <w:p w14:paraId="3E3559EA" w14:textId="77777777" w:rsidR="00082C9F" w:rsidRPr="006516E0" w:rsidRDefault="00082C9F" w:rsidP="007B4ADD">
          <w:pPr>
            <w:jc w:val="both"/>
            <w:rPr>
              <w:rFonts w:ascii="Times New Roman" w:hAnsi="Times New Roman" w:cs="Times New Roman"/>
              <w:sz w:val="24"/>
              <w:szCs w:val="24"/>
              <w:lang w:val="en-US"/>
            </w:rPr>
          </w:pPr>
          <w:r w:rsidRPr="006516E0">
            <w:rPr>
              <w:rFonts w:ascii="Times New Roman" w:hAnsi="Times New Roman" w:cs="Times New Roman"/>
              <w:sz w:val="24"/>
              <w:szCs w:val="24"/>
              <w:lang w:val="en-US"/>
            </w:rPr>
            <w:t xml:space="preserve">Kim, K. (2010). </w:t>
          </w:r>
          <w:proofErr w:type="spellStart"/>
          <w:proofErr w:type="gramStart"/>
          <w:r w:rsidRPr="006516E0">
            <w:rPr>
              <w:rFonts w:ascii="Times New Roman" w:hAnsi="Times New Roman" w:cs="Times New Roman"/>
              <w:sz w:val="24"/>
              <w:szCs w:val="24"/>
              <w:lang w:val="en-US"/>
            </w:rPr>
            <w:t>Blockholder</w:t>
          </w:r>
          <w:proofErr w:type="spellEnd"/>
          <w:r w:rsidRPr="006516E0">
            <w:rPr>
              <w:rFonts w:ascii="Times New Roman" w:hAnsi="Times New Roman" w:cs="Times New Roman"/>
              <w:sz w:val="24"/>
              <w:szCs w:val="24"/>
              <w:lang w:val="en-US"/>
            </w:rPr>
            <w:t xml:space="preserve"> monitoring</w:t>
          </w:r>
          <w:proofErr w:type="gramEnd"/>
          <w:r w:rsidRPr="006516E0">
            <w:rPr>
              <w:rFonts w:ascii="Times New Roman" w:hAnsi="Times New Roman" w:cs="Times New Roman"/>
              <w:sz w:val="24"/>
              <w:szCs w:val="24"/>
              <w:lang w:val="en-US"/>
            </w:rPr>
            <w:t xml:space="preserve"> and the efficiency of pay-performance benchmarking. Journal </w:t>
          </w:r>
          <w:proofErr w:type="gramStart"/>
          <w:r w:rsidRPr="006516E0">
            <w:rPr>
              <w:rFonts w:ascii="Times New Roman" w:hAnsi="Times New Roman" w:cs="Times New Roman"/>
              <w:sz w:val="24"/>
              <w:szCs w:val="24"/>
              <w:lang w:val="en-US"/>
            </w:rPr>
            <w:t>Of</w:t>
          </w:r>
          <w:proofErr w:type="gramEnd"/>
          <w:r w:rsidRPr="006516E0">
            <w:rPr>
              <w:rFonts w:ascii="Times New Roman" w:hAnsi="Times New Roman" w:cs="Times New Roman"/>
              <w:sz w:val="24"/>
              <w:szCs w:val="24"/>
              <w:lang w:val="en-US"/>
            </w:rPr>
            <w:t xml:space="preserve"> Corporate Finance, 16(5), 748-766.80-695.</w:t>
          </w:r>
        </w:p>
        <w:p w14:paraId="1FC732E3" w14:textId="77777777" w:rsidR="002D76EE" w:rsidRPr="003C11C0" w:rsidRDefault="00BF0A79" w:rsidP="00B16D9A">
          <w:pPr>
            <w:jc w:val="both"/>
            <w:rPr>
              <w:rFonts w:ascii="Times New Roman" w:hAnsi="Times New Roman"/>
              <w:lang w:val="en-US"/>
            </w:rPr>
          </w:pPr>
          <w:r w:rsidRPr="006516E0">
            <w:rPr>
              <w:rFonts w:ascii="Times New Roman" w:hAnsi="Times New Roman" w:cs="Times New Roman"/>
              <w:sz w:val="24"/>
              <w:szCs w:val="24"/>
              <w:lang w:val="en-US"/>
            </w:rPr>
            <w:t>Mayer, C. (2013). Firm Commitment. Why the corporation is failin</w:t>
          </w:r>
          <w:r w:rsidR="007F6227" w:rsidRPr="00944612">
            <w:rPr>
              <w:rFonts w:ascii="Times New Roman" w:hAnsi="Times New Roman" w:cs="Times New Roman"/>
              <w:sz w:val="24"/>
              <w:szCs w:val="24"/>
              <w:lang w:val="en-US"/>
            </w:rPr>
            <w:t xml:space="preserve">g us and how to restore trust in it. </w:t>
          </w:r>
          <w:proofErr w:type="gramStart"/>
          <w:r w:rsidR="007F6227" w:rsidRPr="00944612">
            <w:rPr>
              <w:rFonts w:ascii="Times New Roman" w:hAnsi="Times New Roman" w:cs="Times New Roman"/>
              <w:sz w:val="24"/>
              <w:szCs w:val="24"/>
              <w:lang w:val="en-US"/>
            </w:rPr>
            <w:t xml:space="preserve">Oxford </w:t>
          </w:r>
          <w:r w:rsidR="002D76EE" w:rsidRPr="00944612">
            <w:rPr>
              <w:rFonts w:ascii="Times New Roman" w:hAnsi="Times New Roman" w:cs="Times New Roman"/>
              <w:sz w:val="24"/>
              <w:szCs w:val="24"/>
              <w:lang w:val="en-US"/>
            </w:rPr>
            <w:t>University Press.</w:t>
          </w:r>
          <w:proofErr w:type="gramEnd"/>
          <w:r w:rsidR="002D76EE" w:rsidRPr="00944612">
            <w:rPr>
              <w:rFonts w:ascii="Times New Roman" w:hAnsi="Times New Roman" w:cs="Times New Roman"/>
              <w:sz w:val="24"/>
              <w:szCs w:val="24"/>
              <w:lang w:val="en-US"/>
            </w:rPr>
            <w:t xml:space="preserve"> Oxford.</w:t>
          </w:r>
          <w:r w:rsidR="002D76EE" w:rsidRPr="003C11C0">
            <w:rPr>
              <w:rFonts w:ascii="Times New Roman" w:hAnsi="Times New Roman"/>
              <w:lang w:val="en-US"/>
            </w:rPr>
            <w:t xml:space="preserve"> </w:t>
          </w:r>
        </w:p>
        <w:p w14:paraId="37F7EFE1" w14:textId="77777777" w:rsidR="00D26D82" w:rsidRPr="003C11C0" w:rsidRDefault="00D26D82" w:rsidP="00B16D9A">
          <w:pPr>
            <w:jc w:val="both"/>
            <w:rPr>
              <w:rFonts w:ascii="Times New Roman" w:hAnsi="Times New Roman" w:cs="Times New Roman"/>
              <w:sz w:val="24"/>
              <w:szCs w:val="24"/>
              <w:lang w:val="en-US"/>
            </w:rPr>
          </w:pPr>
          <w:r w:rsidRPr="003C11C0">
            <w:rPr>
              <w:rFonts w:ascii="Times New Roman" w:hAnsi="Times New Roman" w:cs="Times New Roman"/>
              <w:sz w:val="24"/>
              <w:szCs w:val="24"/>
              <w:lang w:val="en-US"/>
            </w:rPr>
            <w:t xml:space="preserve">Nguyen, Bang Dang, Ownership Structure and Board Characteristics as Determinants of CEO Turnover in French-Listed Companies (April 16, 2011). Available at SSRN: http://ssrn.com/abstract=1456851 or </w:t>
          </w:r>
          <w:r w:rsidR="009F38D8">
            <w:fldChar w:fldCharType="begin"/>
          </w:r>
          <w:r w:rsidR="009F38D8" w:rsidRPr="00794439">
            <w:rPr>
              <w:lang w:val="en-US"/>
            </w:rPr>
            <w:instrText xml:space="preserve"> HYPERLINK "http://dx.doi.org/10.2139/ssrn.1456851" </w:instrText>
          </w:r>
          <w:r w:rsidR="009F38D8">
            <w:fldChar w:fldCharType="separate"/>
          </w:r>
          <w:r w:rsidRPr="003C11C0">
            <w:rPr>
              <w:rFonts w:cs="Times New Roman"/>
              <w:sz w:val="24"/>
              <w:szCs w:val="24"/>
              <w:lang w:val="en-US"/>
            </w:rPr>
            <w:t>http://dx.doi.org/10.2139/ssrn.1456851</w:t>
          </w:r>
          <w:r w:rsidR="009F38D8">
            <w:rPr>
              <w:rFonts w:cs="Times New Roman"/>
              <w:sz w:val="24"/>
              <w:szCs w:val="24"/>
              <w:lang w:val="en-US"/>
            </w:rPr>
            <w:fldChar w:fldCharType="end"/>
          </w:r>
          <w:r w:rsidRPr="003C11C0">
            <w:rPr>
              <w:rFonts w:ascii="Times New Roman" w:hAnsi="Times New Roman" w:cs="Times New Roman"/>
              <w:sz w:val="24"/>
              <w:szCs w:val="24"/>
              <w:lang w:val="en-US"/>
            </w:rPr>
            <w:t>.</w:t>
          </w:r>
        </w:p>
        <w:p w14:paraId="3DBA542B" w14:textId="77777777" w:rsidR="00D26D82" w:rsidRPr="003C11C0" w:rsidRDefault="00BB5755" w:rsidP="00BB5755">
          <w:pPr>
            <w:jc w:val="both"/>
            <w:rPr>
              <w:rFonts w:ascii="Times New Roman" w:hAnsi="Times New Roman"/>
              <w:sz w:val="24"/>
              <w:szCs w:val="24"/>
              <w:lang w:val="en-US"/>
            </w:rPr>
          </w:pPr>
          <w:proofErr w:type="spellStart"/>
          <w:r w:rsidRPr="003C11C0">
            <w:rPr>
              <w:rFonts w:ascii="Times New Roman" w:hAnsi="Times New Roman"/>
              <w:sz w:val="24"/>
              <w:szCs w:val="24"/>
              <w:lang w:val="en-US"/>
            </w:rPr>
            <w:t>Yihui</w:t>
          </w:r>
          <w:proofErr w:type="spellEnd"/>
          <w:r w:rsidRPr="003C11C0">
            <w:rPr>
              <w:rFonts w:ascii="Times New Roman" w:hAnsi="Times New Roman"/>
              <w:sz w:val="24"/>
              <w:szCs w:val="24"/>
              <w:lang w:val="en-US"/>
            </w:rPr>
            <w:t xml:space="preserve"> Pan, Tracy Yue Wang, Michael S. </w:t>
          </w:r>
          <w:proofErr w:type="spellStart"/>
          <w:r w:rsidRPr="003C11C0">
            <w:rPr>
              <w:rFonts w:ascii="Times New Roman" w:hAnsi="Times New Roman"/>
              <w:sz w:val="24"/>
              <w:szCs w:val="24"/>
              <w:lang w:val="en-US"/>
            </w:rPr>
            <w:t>Weisbach</w:t>
          </w:r>
          <w:proofErr w:type="spellEnd"/>
          <w:r w:rsidRPr="003C11C0">
            <w:rPr>
              <w:rFonts w:ascii="Times New Roman" w:hAnsi="Times New Roman"/>
              <w:sz w:val="24"/>
              <w:szCs w:val="24"/>
              <w:lang w:val="en-US"/>
            </w:rPr>
            <w:t>. CEO Investment Cycles. NBER Working Paper No. 19330. Issued in August 2013</w:t>
          </w:r>
        </w:p>
        <w:p w14:paraId="2107A770" w14:textId="07BBB999" w:rsidR="006C34DD" w:rsidRPr="006C34DD" w:rsidRDefault="002D76EE" w:rsidP="00B16D9A">
          <w:pPr>
            <w:jc w:val="both"/>
            <w:rPr>
              <w:rFonts w:ascii="Times New Roman" w:hAnsi="Times New Roman" w:cs="Times New Roman"/>
              <w:sz w:val="24"/>
              <w:szCs w:val="24"/>
              <w:lang w:val="en-US"/>
            </w:rPr>
          </w:pPr>
          <w:r w:rsidRPr="006C34DD">
            <w:rPr>
              <w:rFonts w:ascii="Times New Roman" w:hAnsi="Times New Roman" w:cs="Times New Roman"/>
              <w:sz w:val="24"/>
              <w:szCs w:val="24"/>
              <w:lang w:val="en-US"/>
            </w:rPr>
            <w:t>Phelps, Edmund S., 2010, Shorttermism is undermining America, New Perspectives Quarterly 27, 17–19. </w:t>
          </w:r>
        </w:p>
        <w:p w14:paraId="019E3307" w14:textId="77777777" w:rsidR="007F6227" w:rsidRPr="004D76E4" w:rsidRDefault="007F6227" w:rsidP="00B16D9A">
          <w:pPr>
            <w:jc w:val="both"/>
            <w:rPr>
              <w:rFonts w:ascii="Times New Roman" w:hAnsi="Times New Roman" w:cs="Times New Roman"/>
              <w:sz w:val="24"/>
              <w:szCs w:val="24"/>
              <w:lang w:val="en-US"/>
            </w:rPr>
          </w:pPr>
          <w:r w:rsidRPr="006516E0">
            <w:rPr>
              <w:rFonts w:ascii="Times New Roman" w:hAnsi="Times New Roman" w:cs="Times New Roman"/>
              <w:sz w:val="24"/>
              <w:szCs w:val="24"/>
              <w:lang w:val="en-US"/>
            </w:rPr>
            <w:t xml:space="preserve">Roe, Mark J., Corporate Short-Termism - In the Boardroom and in the Courtroom (April 18, 2013). Business Lawyer, August 2013; ECGI - Law Working Paper No. 210; Harvard Public Law Working Paper No. 13-18. Available at SSRN: http://ssrn.com/abstract=2239132 or </w:t>
          </w:r>
          <w:r w:rsidR="009F38D8">
            <w:fldChar w:fldCharType="begin"/>
          </w:r>
          <w:r w:rsidR="009F38D8" w:rsidRPr="00794439">
            <w:rPr>
              <w:lang w:val="en-US"/>
            </w:rPr>
            <w:instrText xml:space="preserve"> HYPERLINK "http://dx.doi.org/10.2139/ssrn.2239132" </w:instrText>
          </w:r>
          <w:r w:rsidR="009F38D8">
            <w:fldChar w:fldCharType="separate"/>
          </w:r>
          <w:r w:rsidRPr="004D76E4">
            <w:rPr>
              <w:rStyle w:val="Hyperlink"/>
              <w:rFonts w:ascii="Times New Roman" w:hAnsi="Times New Roman" w:cs="Times New Roman"/>
              <w:sz w:val="24"/>
              <w:szCs w:val="24"/>
              <w:lang w:val="en-US"/>
            </w:rPr>
            <w:t>http://dx.doi.org/10.2139/ssrn.2239132</w:t>
          </w:r>
          <w:r w:rsidR="009F38D8">
            <w:rPr>
              <w:rStyle w:val="Hyperlink"/>
              <w:rFonts w:ascii="Times New Roman" w:hAnsi="Times New Roman" w:cs="Times New Roman"/>
              <w:sz w:val="24"/>
              <w:szCs w:val="24"/>
              <w:lang w:val="en-US"/>
            </w:rPr>
            <w:fldChar w:fldCharType="end"/>
          </w:r>
          <w:r w:rsidRPr="004D76E4">
            <w:rPr>
              <w:rFonts w:ascii="Times New Roman" w:hAnsi="Times New Roman" w:cs="Times New Roman"/>
              <w:sz w:val="24"/>
              <w:szCs w:val="24"/>
              <w:lang w:val="en-US"/>
            </w:rPr>
            <w:t>.</w:t>
          </w:r>
        </w:p>
        <w:p w14:paraId="14DFB9B8" w14:textId="47CBEA37" w:rsidR="00A14A94" w:rsidRDefault="00A14A94" w:rsidP="00B16D9A">
          <w:pPr>
            <w:jc w:val="both"/>
            <w:rPr>
              <w:rFonts w:ascii="Times New Roman" w:hAnsi="Times New Roman" w:cs="Times New Roman"/>
              <w:sz w:val="24"/>
              <w:szCs w:val="24"/>
              <w:lang w:val="en-US"/>
            </w:rPr>
          </w:pPr>
          <w:r w:rsidRPr="00C21C9F">
            <w:rPr>
              <w:rFonts w:ascii="Times New Roman" w:hAnsi="Times New Roman" w:cs="Times New Roman"/>
              <w:sz w:val="24"/>
              <w:szCs w:val="24"/>
              <w:lang w:val="en-US"/>
            </w:rPr>
            <w:t xml:space="preserve">Sarkar, </w:t>
          </w:r>
          <w:proofErr w:type="spellStart"/>
          <w:r w:rsidRPr="00C21C9F">
            <w:rPr>
              <w:rFonts w:ascii="Times New Roman" w:hAnsi="Times New Roman" w:cs="Times New Roman"/>
              <w:sz w:val="24"/>
              <w:szCs w:val="24"/>
              <w:lang w:val="en-US"/>
            </w:rPr>
            <w:t>Arkodipta</w:t>
          </w:r>
          <w:proofErr w:type="spellEnd"/>
          <w:r w:rsidRPr="00C21C9F">
            <w:rPr>
              <w:rFonts w:ascii="Times New Roman" w:hAnsi="Times New Roman" w:cs="Times New Roman"/>
              <w:sz w:val="24"/>
              <w:szCs w:val="24"/>
              <w:lang w:val="en-US"/>
            </w:rPr>
            <w:t xml:space="preserve"> and Krishnamurthy, Subramanian a</w:t>
          </w:r>
          <w:r w:rsidRPr="006516E0">
            <w:rPr>
              <w:rFonts w:ascii="Times New Roman" w:hAnsi="Times New Roman" w:cs="Times New Roman"/>
              <w:sz w:val="24"/>
              <w:szCs w:val="24"/>
              <w:lang w:val="en-US"/>
            </w:rPr>
            <w:t xml:space="preserve">nd </w:t>
          </w:r>
          <w:proofErr w:type="spellStart"/>
          <w:r w:rsidRPr="006516E0">
            <w:rPr>
              <w:rFonts w:ascii="Times New Roman" w:hAnsi="Times New Roman" w:cs="Times New Roman"/>
              <w:sz w:val="24"/>
              <w:szCs w:val="24"/>
              <w:lang w:val="en-US"/>
            </w:rPr>
            <w:t>Tantri</w:t>
          </w:r>
          <w:proofErr w:type="spellEnd"/>
          <w:r w:rsidRPr="006516E0">
            <w:rPr>
              <w:rFonts w:ascii="Times New Roman" w:hAnsi="Times New Roman" w:cs="Times New Roman"/>
              <w:sz w:val="24"/>
              <w:szCs w:val="24"/>
              <w:lang w:val="en-US"/>
            </w:rPr>
            <w:t xml:space="preserve">, </w:t>
          </w:r>
          <w:proofErr w:type="spellStart"/>
          <w:r w:rsidRPr="006516E0">
            <w:rPr>
              <w:rFonts w:ascii="Times New Roman" w:hAnsi="Times New Roman" w:cs="Times New Roman"/>
              <w:sz w:val="24"/>
              <w:szCs w:val="24"/>
              <w:lang w:val="en-US"/>
            </w:rPr>
            <w:t>Prasanna</w:t>
          </w:r>
          <w:proofErr w:type="spellEnd"/>
          <w:r w:rsidRPr="006516E0">
            <w:rPr>
              <w:rFonts w:ascii="Times New Roman" w:hAnsi="Times New Roman" w:cs="Times New Roman"/>
              <w:sz w:val="24"/>
              <w:szCs w:val="24"/>
              <w:lang w:val="en-US"/>
            </w:rPr>
            <w:t xml:space="preserve"> L., CEO Turnover and Earnings Management in Banks: Evidence from India (October 12, 2013). Available at SSRN: http://ssrn.com/abstract=2338392 or </w:t>
          </w:r>
          <w:r w:rsidR="009F38D8">
            <w:fldChar w:fldCharType="begin"/>
          </w:r>
          <w:r w:rsidR="009F38D8" w:rsidRPr="00794439">
            <w:rPr>
              <w:lang w:val="en-US"/>
            </w:rPr>
            <w:instrText xml:space="preserve"> HYPERLINK "http://dx.doi.org/10.2139/ssrn.2338392" </w:instrText>
          </w:r>
          <w:r w:rsidR="009F38D8">
            <w:fldChar w:fldCharType="separate"/>
          </w:r>
          <w:r w:rsidRPr="004D76E4">
            <w:rPr>
              <w:rStyle w:val="Hyperlink"/>
              <w:rFonts w:ascii="Times New Roman" w:hAnsi="Times New Roman" w:cs="Times New Roman"/>
              <w:sz w:val="24"/>
              <w:szCs w:val="24"/>
              <w:lang w:val="en-US"/>
            </w:rPr>
            <w:t>http://dx.doi.org/10.2139/ssrn.2338392</w:t>
          </w:r>
          <w:r w:rsidR="009F38D8">
            <w:rPr>
              <w:rStyle w:val="Hyperlink"/>
              <w:rFonts w:ascii="Times New Roman" w:hAnsi="Times New Roman" w:cs="Times New Roman"/>
              <w:sz w:val="24"/>
              <w:szCs w:val="24"/>
              <w:lang w:val="en-US"/>
            </w:rPr>
            <w:fldChar w:fldCharType="end"/>
          </w:r>
          <w:r w:rsidRPr="004D76E4">
            <w:rPr>
              <w:rFonts w:ascii="Times New Roman" w:hAnsi="Times New Roman" w:cs="Times New Roman"/>
              <w:sz w:val="24"/>
              <w:szCs w:val="24"/>
              <w:lang w:val="en-US"/>
            </w:rPr>
            <w:t>.</w:t>
          </w:r>
        </w:p>
        <w:p w14:paraId="39A13BF6" w14:textId="34E4B3E5" w:rsidR="00D22DFB" w:rsidRDefault="00D22DFB" w:rsidP="00B16D9A">
          <w:pPr>
            <w:jc w:val="both"/>
            <w:rPr>
              <w:rFonts w:ascii="Times New Roman" w:hAnsi="Times New Roman" w:cs="Times New Roman"/>
              <w:sz w:val="24"/>
              <w:szCs w:val="24"/>
              <w:lang w:val="en-US"/>
            </w:rPr>
          </w:pPr>
          <w:proofErr w:type="spellStart"/>
          <w:r w:rsidRPr="00D22DFB">
            <w:rPr>
              <w:rFonts w:ascii="Times New Roman" w:hAnsi="Times New Roman" w:cs="Times New Roman"/>
              <w:sz w:val="24"/>
              <w:szCs w:val="24"/>
              <w:lang w:val="en-US"/>
            </w:rPr>
            <w:t>Shleifer</w:t>
          </w:r>
          <w:proofErr w:type="spellEnd"/>
          <w:r w:rsidRPr="00D22DFB">
            <w:rPr>
              <w:rFonts w:ascii="Times New Roman" w:hAnsi="Times New Roman" w:cs="Times New Roman"/>
              <w:sz w:val="24"/>
              <w:szCs w:val="24"/>
              <w:lang w:val="en-US"/>
            </w:rPr>
            <w:t xml:space="preserve">, Andrei, and Lawrence H Summers. 1988. Breach of Trust in Hostile Takeovers. In Corporate Takeovers: Causes and </w:t>
          </w:r>
          <w:proofErr w:type="gramStart"/>
          <w:r w:rsidRPr="00D22DFB">
            <w:rPr>
              <w:rFonts w:ascii="Times New Roman" w:hAnsi="Times New Roman" w:cs="Times New Roman"/>
              <w:sz w:val="24"/>
              <w:szCs w:val="24"/>
              <w:lang w:val="en-US"/>
            </w:rPr>
            <w:t>Consequences.,</w:t>
          </w:r>
          <w:proofErr w:type="gramEnd"/>
          <w:r w:rsidRPr="00D22DFB">
            <w:rPr>
              <w:rFonts w:ascii="Times New Roman" w:hAnsi="Times New Roman" w:cs="Times New Roman"/>
              <w:sz w:val="24"/>
              <w:szCs w:val="24"/>
              <w:lang w:val="en-US"/>
            </w:rPr>
            <w:t xml:space="preserve"> Alan J </w:t>
          </w:r>
          <w:proofErr w:type="spellStart"/>
          <w:r w:rsidRPr="00D22DFB">
            <w:rPr>
              <w:rFonts w:ascii="Times New Roman" w:hAnsi="Times New Roman" w:cs="Times New Roman"/>
              <w:sz w:val="24"/>
              <w:szCs w:val="24"/>
              <w:lang w:val="en-US"/>
            </w:rPr>
            <w:t>Auerbach</w:t>
          </w:r>
          <w:proofErr w:type="spellEnd"/>
          <w:r w:rsidRPr="00D22DFB">
            <w:rPr>
              <w:rFonts w:ascii="Times New Roman" w:hAnsi="Times New Roman" w:cs="Times New Roman"/>
              <w:sz w:val="24"/>
              <w:szCs w:val="24"/>
              <w:lang w:val="en-US"/>
            </w:rPr>
            <w:t>, 33-56. Chicago: University of Chicago Press.</w:t>
          </w:r>
        </w:p>
        <w:p w14:paraId="65E49102" w14:textId="101165EF" w:rsidR="006011FE" w:rsidRDefault="006011FE" w:rsidP="00B16D9A">
          <w:pPr>
            <w:jc w:val="both"/>
            <w:rPr>
              <w:rFonts w:ascii="Times New Roman" w:hAnsi="Times New Roman" w:cs="Times New Roman"/>
              <w:sz w:val="24"/>
              <w:szCs w:val="24"/>
              <w:lang w:val="en-US"/>
            </w:rPr>
          </w:pPr>
          <w:proofErr w:type="spellStart"/>
          <w:r w:rsidRPr="006516E0">
            <w:rPr>
              <w:rFonts w:ascii="Times New Roman" w:hAnsi="Times New Roman" w:cs="Times New Roman"/>
              <w:sz w:val="24"/>
              <w:szCs w:val="24"/>
              <w:lang w:val="en-US"/>
            </w:rPr>
            <w:t>Sponholtz</w:t>
          </w:r>
          <w:proofErr w:type="spellEnd"/>
          <w:r w:rsidRPr="006516E0">
            <w:rPr>
              <w:rFonts w:ascii="Times New Roman" w:hAnsi="Times New Roman" w:cs="Times New Roman"/>
              <w:sz w:val="24"/>
              <w:szCs w:val="24"/>
              <w:lang w:val="en-US"/>
            </w:rPr>
            <w:t xml:space="preserve">, Carina, Determinants of CEO Turnover in Public and Private Firms in Denmark - CEO and Firm Characteristics (August 28, 2006). Available at SSRN: http://ssrn.com/abstract=927424 or </w:t>
          </w:r>
          <w:r w:rsidR="009F38D8">
            <w:fldChar w:fldCharType="begin"/>
          </w:r>
          <w:r w:rsidR="009F38D8" w:rsidRPr="00794439">
            <w:rPr>
              <w:lang w:val="en-US"/>
            </w:rPr>
            <w:instrText xml:space="preserve"> HYPERLINK "http://dx.doi.org/10.2139/ssrn.927424" </w:instrText>
          </w:r>
          <w:r w:rsidR="009F38D8">
            <w:fldChar w:fldCharType="separate"/>
          </w:r>
          <w:r w:rsidR="00B4492E" w:rsidRPr="00904528">
            <w:rPr>
              <w:rStyle w:val="Hyperlink"/>
              <w:rFonts w:ascii="Times New Roman" w:hAnsi="Times New Roman" w:cs="Times New Roman"/>
              <w:sz w:val="24"/>
              <w:szCs w:val="24"/>
              <w:lang w:val="en-US"/>
            </w:rPr>
            <w:t>http://dx.doi.org/10.2139/ssrn.927424</w:t>
          </w:r>
          <w:r w:rsidR="009F38D8">
            <w:rPr>
              <w:rStyle w:val="Hyperlink"/>
              <w:rFonts w:ascii="Times New Roman" w:hAnsi="Times New Roman" w:cs="Times New Roman"/>
              <w:sz w:val="24"/>
              <w:szCs w:val="24"/>
              <w:lang w:val="en-US"/>
            </w:rPr>
            <w:fldChar w:fldCharType="end"/>
          </w:r>
          <w:r w:rsidR="00B4492E">
            <w:rPr>
              <w:rFonts w:ascii="Times New Roman" w:hAnsi="Times New Roman" w:cs="Times New Roman"/>
              <w:sz w:val="24"/>
              <w:szCs w:val="24"/>
              <w:lang w:val="en-US"/>
            </w:rPr>
            <w:t>.</w:t>
          </w:r>
        </w:p>
        <w:p w14:paraId="7754A799" w14:textId="77777777" w:rsidR="00B4492E" w:rsidRPr="00B4492E" w:rsidRDefault="00B4492E" w:rsidP="00B4492E">
          <w:pPr>
            <w:jc w:val="both"/>
            <w:rPr>
              <w:rFonts w:ascii="Times New Roman" w:hAnsi="Times New Roman" w:cs="Times New Roman"/>
              <w:sz w:val="24"/>
              <w:szCs w:val="24"/>
              <w:lang w:val="en-US"/>
            </w:rPr>
          </w:pPr>
          <w:proofErr w:type="gramStart"/>
          <w:r w:rsidRPr="00B4492E">
            <w:rPr>
              <w:rFonts w:ascii="Times New Roman" w:hAnsi="Times New Roman" w:cs="Times New Roman"/>
              <w:sz w:val="24"/>
              <w:szCs w:val="24"/>
              <w:lang w:val="en-US"/>
            </w:rPr>
            <w:t>Stein, Jeremy, 1988, Takeover threats and managerial myopia, Journal of Political Economy 46, 61</w:t>
          </w:r>
          <w:r w:rsidRPr="00B4492E">
            <w:rPr>
              <w:rFonts w:ascii="Cambria Math" w:hAnsi="Cambria Math" w:cs="Cambria Math"/>
              <w:sz w:val="24"/>
              <w:szCs w:val="24"/>
              <w:lang w:val="en-US"/>
            </w:rPr>
            <w:t>‐</w:t>
          </w:r>
          <w:r w:rsidRPr="00B4492E">
            <w:rPr>
              <w:rFonts w:ascii="Times New Roman" w:hAnsi="Times New Roman" w:cs="Times New Roman"/>
              <w:sz w:val="24"/>
              <w:szCs w:val="24"/>
              <w:lang w:val="en-US"/>
            </w:rPr>
            <w:t>80.</w:t>
          </w:r>
          <w:proofErr w:type="gramEnd"/>
        </w:p>
        <w:p w14:paraId="1786D8FE" w14:textId="04EADD05" w:rsidR="00B4492E" w:rsidRPr="00B4492E" w:rsidRDefault="00B4492E" w:rsidP="00B4492E">
          <w:pPr>
            <w:jc w:val="both"/>
            <w:rPr>
              <w:rFonts w:ascii="Times New Roman" w:hAnsi="Times New Roman" w:cs="Times New Roman"/>
              <w:sz w:val="24"/>
              <w:szCs w:val="24"/>
              <w:lang w:val="en-US"/>
            </w:rPr>
          </w:pPr>
          <w:r w:rsidRPr="00B4492E">
            <w:rPr>
              <w:rFonts w:ascii="Times New Roman" w:hAnsi="Times New Roman" w:cs="Times New Roman"/>
              <w:sz w:val="24"/>
              <w:szCs w:val="24"/>
              <w:lang w:val="en-US"/>
            </w:rPr>
            <w:t>Stein, Jeremy, 1989, Efficient capital markets, inefficient firms: A model of myopic corporate behavior,</w:t>
          </w:r>
          <w:r>
            <w:rPr>
              <w:rFonts w:ascii="Times New Roman" w:hAnsi="Times New Roman" w:cs="Times New Roman"/>
              <w:sz w:val="24"/>
              <w:szCs w:val="24"/>
              <w:lang w:val="en-US"/>
            </w:rPr>
            <w:t xml:space="preserve"> </w:t>
          </w:r>
          <w:r w:rsidRPr="00B4492E">
            <w:rPr>
              <w:rFonts w:ascii="Times New Roman" w:hAnsi="Times New Roman" w:cs="Times New Roman"/>
              <w:sz w:val="24"/>
              <w:szCs w:val="24"/>
              <w:lang w:val="en-US"/>
            </w:rPr>
            <w:t>Quarterly Journal of Economics 104, 655</w:t>
          </w:r>
          <w:r w:rsidRPr="00B4492E">
            <w:rPr>
              <w:rFonts w:ascii="Cambria Math" w:hAnsi="Cambria Math" w:cs="Cambria Math"/>
              <w:sz w:val="24"/>
              <w:szCs w:val="24"/>
              <w:lang w:val="en-US"/>
            </w:rPr>
            <w:t>‐</w:t>
          </w:r>
          <w:r w:rsidRPr="00B4492E">
            <w:rPr>
              <w:rFonts w:ascii="Times New Roman" w:hAnsi="Times New Roman" w:cs="Times New Roman"/>
              <w:sz w:val="24"/>
              <w:szCs w:val="24"/>
              <w:lang w:val="en-US"/>
            </w:rPr>
            <w:t>669.</w:t>
          </w:r>
        </w:p>
        <w:p w14:paraId="0C9BF506" w14:textId="77777777" w:rsidR="001657E5" w:rsidRPr="006516E0" w:rsidRDefault="001657E5" w:rsidP="00B16D9A">
          <w:pPr>
            <w:jc w:val="both"/>
            <w:rPr>
              <w:rFonts w:ascii="Times New Roman" w:hAnsi="Times New Roman" w:cs="Times New Roman"/>
              <w:sz w:val="24"/>
              <w:szCs w:val="24"/>
              <w:lang w:val="en-US"/>
            </w:rPr>
          </w:pPr>
          <w:proofErr w:type="gramStart"/>
          <w:r w:rsidRPr="006516E0">
            <w:rPr>
              <w:rFonts w:ascii="Times New Roman" w:hAnsi="Times New Roman" w:cs="Times New Roman"/>
              <w:sz w:val="24"/>
              <w:szCs w:val="24"/>
              <w:lang w:val="en-US"/>
            </w:rPr>
            <w:t>Thomsen, S. (1996).</w:t>
          </w:r>
          <w:proofErr w:type="gramEnd"/>
          <w:r w:rsidRPr="006516E0">
            <w:rPr>
              <w:rFonts w:ascii="Times New Roman" w:hAnsi="Times New Roman" w:cs="Times New Roman"/>
              <w:sz w:val="24"/>
              <w:szCs w:val="24"/>
              <w:lang w:val="en-US"/>
            </w:rPr>
            <w:t xml:space="preserve"> </w:t>
          </w:r>
          <w:proofErr w:type="gramStart"/>
          <w:r w:rsidRPr="006516E0">
            <w:rPr>
              <w:rFonts w:ascii="Times New Roman" w:hAnsi="Times New Roman" w:cs="Times New Roman"/>
              <w:sz w:val="24"/>
              <w:szCs w:val="24"/>
              <w:lang w:val="en-US"/>
            </w:rPr>
            <w:t>Foundation ownership and economic performance.</w:t>
          </w:r>
          <w:proofErr w:type="gramEnd"/>
          <w:r w:rsidRPr="006516E0">
            <w:rPr>
              <w:rFonts w:ascii="Times New Roman" w:hAnsi="Times New Roman" w:cs="Times New Roman"/>
              <w:sz w:val="24"/>
              <w:szCs w:val="24"/>
              <w:lang w:val="en-US"/>
            </w:rPr>
            <w:t xml:space="preserve"> Corporate Governance: An International Review, 4, 212-221.</w:t>
          </w:r>
        </w:p>
        <w:p w14:paraId="5613A991" w14:textId="77777777" w:rsidR="001657E5" w:rsidRPr="00944612" w:rsidRDefault="001657E5" w:rsidP="00B16D9A">
          <w:pPr>
            <w:jc w:val="both"/>
            <w:rPr>
              <w:rFonts w:ascii="Times New Roman" w:hAnsi="Times New Roman" w:cs="Times New Roman"/>
              <w:sz w:val="24"/>
              <w:szCs w:val="24"/>
              <w:lang w:val="en-US"/>
            </w:rPr>
          </w:pPr>
          <w:proofErr w:type="gramStart"/>
          <w:r w:rsidRPr="00944612">
            <w:rPr>
              <w:rFonts w:ascii="Times New Roman" w:hAnsi="Times New Roman" w:cs="Times New Roman"/>
              <w:sz w:val="24"/>
              <w:szCs w:val="24"/>
              <w:lang w:val="en-US"/>
            </w:rPr>
            <w:t>Thomsen, S. (1999).</w:t>
          </w:r>
          <w:proofErr w:type="gramEnd"/>
          <w:r w:rsidRPr="00944612">
            <w:rPr>
              <w:rFonts w:ascii="Times New Roman" w:hAnsi="Times New Roman" w:cs="Times New Roman"/>
              <w:sz w:val="24"/>
              <w:szCs w:val="24"/>
              <w:lang w:val="en-US"/>
            </w:rPr>
            <w:t xml:space="preserve"> </w:t>
          </w:r>
          <w:proofErr w:type="gramStart"/>
          <w:r w:rsidRPr="00944612">
            <w:rPr>
              <w:rFonts w:ascii="Times New Roman" w:hAnsi="Times New Roman" w:cs="Times New Roman"/>
              <w:sz w:val="24"/>
              <w:szCs w:val="24"/>
              <w:lang w:val="en-US"/>
            </w:rPr>
            <w:t>Corporate ownership by industrial foundations.</w:t>
          </w:r>
          <w:proofErr w:type="gramEnd"/>
          <w:r w:rsidRPr="00944612">
            <w:rPr>
              <w:rFonts w:ascii="Times New Roman" w:hAnsi="Times New Roman" w:cs="Times New Roman"/>
              <w:sz w:val="24"/>
              <w:szCs w:val="24"/>
              <w:lang w:val="en-US"/>
            </w:rPr>
            <w:t xml:space="preserve"> European Journal of Law and Economics, 7, 117-136.</w:t>
          </w:r>
        </w:p>
        <w:p w14:paraId="4B5CF6F8" w14:textId="77777777" w:rsidR="001F4068" w:rsidRPr="004D76E4" w:rsidRDefault="003356EF" w:rsidP="00B16D9A">
          <w:pPr>
            <w:jc w:val="both"/>
            <w:rPr>
              <w:rFonts w:ascii="Times New Roman" w:hAnsi="Times New Roman" w:cs="Times New Roman"/>
              <w:sz w:val="24"/>
              <w:szCs w:val="24"/>
            </w:rPr>
          </w:pPr>
          <w:proofErr w:type="spellStart"/>
          <w:r w:rsidRPr="007A4EB5">
            <w:rPr>
              <w:rFonts w:ascii="Times New Roman" w:hAnsi="Times New Roman" w:cs="Times New Roman"/>
              <w:sz w:val="24"/>
              <w:szCs w:val="24"/>
              <w:lang w:val="en-US"/>
            </w:rPr>
            <w:lastRenderedPageBreak/>
            <w:t>Thomsen</w:t>
          </w:r>
          <w:proofErr w:type="gramStart"/>
          <w:r w:rsidRPr="007A4EB5">
            <w:rPr>
              <w:rFonts w:ascii="Times New Roman" w:hAnsi="Times New Roman" w:cs="Times New Roman"/>
              <w:sz w:val="24"/>
              <w:szCs w:val="24"/>
              <w:lang w:val="en-US"/>
            </w:rPr>
            <w:t>,S</w:t>
          </w:r>
          <w:proofErr w:type="spellEnd"/>
          <w:proofErr w:type="gramEnd"/>
          <w:r w:rsidR="001F4068" w:rsidRPr="00720F18">
            <w:rPr>
              <w:rFonts w:ascii="Times New Roman" w:hAnsi="Times New Roman" w:cs="Times New Roman"/>
              <w:sz w:val="24"/>
              <w:szCs w:val="24"/>
              <w:lang w:val="en-US"/>
            </w:rPr>
            <w:t>. 2012a. What do We Kno</w:t>
          </w:r>
          <w:r w:rsidR="001F4068" w:rsidRPr="00E97BE5">
            <w:rPr>
              <w:rFonts w:ascii="Times New Roman" w:hAnsi="Times New Roman" w:cs="Times New Roman"/>
              <w:sz w:val="24"/>
              <w:szCs w:val="24"/>
              <w:lang w:val="en-US"/>
            </w:rPr>
            <w:t xml:space="preserve">w about Industrial </w:t>
          </w:r>
          <w:proofErr w:type="gramStart"/>
          <w:r w:rsidR="001F4068" w:rsidRPr="00E97BE5">
            <w:rPr>
              <w:rFonts w:ascii="Times New Roman" w:hAnsi="Times New Roman" w:cs="Times New Roman"/>
              <w:sz w:val="24"/>
              <w:szCs w:val="24"/>
              <w:lang w:val="en-US"/>
            </w:rPr>
            <w:t>Foundations.</w:t>
          </w:r>
          <w:proofErr w:type="gramEnd"/>
          <w:r w:rsidR="001F4068" w:rsidRPr="003C11C0">
            <w:rPr>
              <w:rFonts w:ascii="Times New Roman" w:hAnsi="Times New Roman"/>
              <w:lang w:val="en-US"/>
            </w:rPr>
            <w:t xml:space="preserve"> </w:t>
          </w:r>
          <w:hyperlink r:id="rId10" w:history="1">
            <w:r w:rsidR="001F4068" w:rsidRPr="004D76E4">
              <w:rPr>
                <w:rStyle w:val="Hyperlink"/>
                <w:rFonts w:ascii="Times New Roman" w:hAnsi="Times New Roman" w:cs="Times New Roman"/>
                <w:sz w:val="24"/>
                <w:szCs w:val="24"/>
              </w:rPr>
              <w:t>http://www.tifp.dk/wp-content/uploads/2011/11/What-Do-We-Know-about-Industrial-Foundations.pdf</w:t>
            </w:r>
          </w:hyperlink>
          <w:r w:rsidR="001F4068" w:rsidRPr="004D76E4">
            <w:rPr>
              <w:rFonts w:ascii="Times New Roman" w:hAnsi="Times New Roman" w:cs="Times New Roman"/>
              <w:sz w:val="24"/>
              <w:szCs w:val="24"/>
            </w:rPr>
            <w:t>.</w:t>
          </w:r>
        </w:p>
        <w:p w14:paraId="487B5306" w14:textId="77777777" w:rsidR="00F71597" w:rsidRPr="00670E40" w:rsidRDefault="003356EF" w:rsidP="00B16D9A">
          <w:pPr>
            <w:jc w:val="both"/>
            <w:rPr>
              <w:rFonts w:ascii="Times New Roman" w:hAnsi="Times New Roman" w:cs="Times New Roman"/>
              <w:sz w:val="24"/>
              <w:szCs w:val="24"/>
              <w:lang w:val="en-US"/>
            </w:rPr>
          </w:pPr>
          <w:r w:rsidRPr="00C21C9F">
            <w:rPr>
              <w:rFonts w:ascii="Times New Roman" w:hAnsi="Times New Roman" w:cs="Times New Roman"/>
              <w:sz w:val="24"/>
              <w:szCs w:val="24"/>
              <w:lang w:val="en-US"/>
            </w:rPr>
            <w:t>Thomsen, S</w:t>
          </w:r>
          <w:r w:rsidR="00F71597" w:rsidRPr="006516E0">
            <w:rPr>
              <w:rFonts w:ascii="Times New Roman" w:hAnsi="Times New Roman" w:cs="Times New Roman"/>
              <w:sz w:val="24"/>
              <w:szCs w:val="24"/>
              <w:lang w:val="en-US"/>
            </w:rPr>
            <w:t>.</w:t>
          </w:r>
          <w:r w:rsidRPr="006516E0">
            <w:rPr>
              <w:rFonts w:ascii="Times New Roman" w:hAnsi="Times New Roman" w:cs="Times New Roman"/>
              <w:sz w:val="24"/>
              <w:szCs w:val="24"/>
              <w:lang w:val="en-US"/>
            </w:rPr>
            <w:t xml:space="preserve"> </w:t>
          </w:r>
          <w:r w:rsidR="001F4068" w:rsidRPr="006516E0">
            <w:rPr>
              <w:rFonts w:ascii="Times New Roman" w:hAnsi="Times New Roman" w:cs="Times New Roman"/>
              <w:sz w:val="24"/>
              <w:szCs w:val="24"/>
              <w:lang w:val="en-US"/>
            </w:rPr>
            <w:t>2012b.</w:t>
          </w:r>
          <w:r w:rsidR="00F71597" w:rsidRPr="006516E0">
            <w:rPr>
              <w:rFonts w:ascii="Times New Roman" w:hAnsi="Times New Roman" w:cs="Times New Roman"/>
              <w:sz w:val="24"/>
              <w:szCs w:val="24"/>
              <w:lang w:val="en-US"/>
            </w:rPr>
            <w:t xml:space="preserve"> </w:t>
          </w:r>
          <w:proofErr w:type="gramStart"/>
          <w:r w:rsidR="00F71597" w:rsidRPr="006516E0">
            <w:rPr>
              <w:rFonts w:ascii="Times New Roman" w:hAnsi="Times New Roman" w:cs="Times New Roman"/>
              <w:sz w:val="24"/>
              <w:szCs w:val="24"/>
              <w:lang w:val="en-US"/>
            </w:rPr>
            <w:t>Industrial Foundations in the Danish Economy.</w:t>
          </w:r>
          <w:proofErr w:type="gramEnd"/>
          <w:r w:rsidR="00F71597" w:rsidRPr="006516E0">
            <w:rPr>
              <w:rFonts w:ascii="Times New Roman" w:hAnsi="Times New Roman" w:cs="Times New Roman"/>
              <w:sz w:val="24"/>
              <w:szCs w:val="24"/>
              <w:lang w:val="en-US"/>
            </w:rPr>
            <w:t xml:space="preserve"> Working Paper. </w:t>
          </w:r>
          <w:r w:rsidR="009F38D8">
            <w:fldChar w:fldCharType="begin"/>
          </w:r>
          <w:r w:rsidR="009F38D8" w:rsidRPr="00794439">
            <w:rPr>
              <w:lang w:val="en-US"/>
            </w:rPr>
            <w:instrText xml:space="preserve"> HYPERLINK "http://www.tifp.dk/wp-content/uploads/2011/11/Industrial-Foundations-and-Danish-Society1.pdf" </w:instrText>
          </w:r>
          <w:r w:rsidR="009F38D8">
            <w:fldChar w:fldCharType="separate"/>
          </w:r>
          <w:r w:rsidR="001F4068" w:rsidRPr="00670E40">
            <w:rPr>
              <w:rStyle w:val="Hyperlink"/>
              <w:rFonts w:ascii="Times New Roman" w:hAnsi="Times New Roman" w:cs="Times New Roman"/>
              <w:sz w:val="24"/>
              <w:szCs w:val="24"/>
              <w:lang w:val="en-US"/>
            </w:rPr>
            <w:t>http://www.tifp.dk/wp-content/uploads/2011/11/Industrial-Foundations-and-Danish-Society1.pdf</w:t>
          </w:r>
          <w:r w:rsidR="009F38D8">
            <w:rPr>
              <w:rStyle w:val="Hyperlink"/>
              <w:rFonts w:ascii="Times New Roman" w:hAnsi="Times New Roman" w:cs="Times New Roman"/>
              <w:sz w:val="24"/>
              <w:szCs w:val="24"/>
              <w:lang w:val="en-US"/>
            </w:rPr>
            <w:fldChar w:fldCharType="end"/>
          </w:r>
          <w:r w:rsidR="001F4068" w:rsidRPr="00670E40">
            <w:rPr>
              <w:rFonts w:ascii="Times New Roman" w:hAnsi="Times New Roman" w:cs="Times New Roman"/>
              <w:sz w:val="24"/>
              <w:szCs w:val="24"/>
              <w:lang w:val="en-US"/>
            </w:rPr>
            <w:t>.</w:t>
          </w:r>
        </w:p>
        <w:p w14:paraId="3E2CD93B" w14:textId="77777777" w:rsidR="001F4068" w:rsidRPr="006516E0" w:rsidRDefault="00DB44E3" w:rsidP="00DB44E3">
          <w:pPr>
            <w:jc w:val="both"/>
            <w:rPr>
              <w:rFonts w:ascii="Times New Roman" w:hAnsi="Times New Roman" w:cs="Times New Roman"/>
              <w:sz w:val="24"/>
              <w:szCs w:val="24"/>
              <w:lang w:val="en-US"/>
            </w:rPr>
          </w:pPr>
          <w:proofErr w:type="spellStart"/>
          <w:r w:rsidRPr="006516E0">
            <w:rPr>
              <w:rFonts w:ascii="Times New Roman" w:hAnsi="Times New Roman" w:cs="Times New Roman"/>
              <w:sz w:val="24"/>
              <w:szCs w:val="24"/>
              <w:lang w:val="en-US"/>
            </w:rPr>
            <w:t>Weisbach</w:t>
          </w:r>
          <w:proofErr w:type="spellEnd"/>
          <w:r w:rsidRPr="006516E0">
            <w:rPr>
              <w:rFonts w:ascii="Times New Roman" w:hAnsi="Times New Roman" w:cs="Times New Roman"/>
              <w:sz w:val="24"/>
              <w:szCs w:val="24"/>
              <w:lang w:val="en-US"/>
            </w:rPr>
            <w:t xml:space="preserve">, Michael S., 1995. </w:t>
          </w:r>
          <w:proofErr w:type="gramStart"/>
          <w:r w:rsidRPr="006516E0">
            <w:rPr>
              <w:rFonts w:ascii="Times New Roman" w:hAnsi="Times New Roman" w:cs="Times New Roman"/>
              <w:sz w:val="24"/>
              <w:szCs w:val="24"/>
              <w:lang w:val="en-US"/>
            </w:rPr>
            <w:t>“CEO turnover and the firm’s investment decisions” Journal of Financial Economics 37, 159-188.</w:t>
          </w:r>
          <w:proofErr w:type="gramEnd"/>
        </w:p>
        <w:p w14:paraId="59969448" w14:textId="77777777" w:rsidR="003E1483" w:rsidRPr="004D76E4" w:rsidRDefault="009F38D8" w:rsidP="008F0C1D">
          <w:pPr>
            <w:jc w:val="both"/>
            <w:rPr>
              <w:rFonts w:ascii="Times New Roman" w:hAnsi="Times New Roman" w:cs="Times New Roman"/>
              <w:sz w:val="24"/>
              <w:szCs w:val="24"/>
              <w:lang w:val="en-US"/>
            </w:rPr>
            <w:sectPr w:rsidR="003E1483" w:rsidRPr="004D76E4" w:rsidSect="008A6528">
              <w:footerReference w:type="default" r:id="rId11"/>
              <w:type w:val="continuous"/>
              <w:pgSz w:w="11906" w:h="16838"/>
              <w:pgMar w:top="1701" w:right="1134" w:bottom="1701" w:left="1134" w:header="708" w:footer="708" w:gutter="0"/>
              <w:cols w:space="708"/>
              <w:docGrid w:linePitch="360"/>
            </w:sectPr>
          </w:pPr>
        </w:p>
      </w:sdtContent>
    </w:sdt>
    <w:p w14:paraId="00C384EC" w14:textId="77777777" w:rsidR="008B6983" w:rsidRPr="00C21C9F" w:rsidRDefault="008B6983" w:rsidP="00B16D9A">
      <w:pPr>
        <w:spacing w:after="0" w:line="240" w:lineRule="auto"/>
        <w:jc w:val="both"/>
        <w:rPr>
          <w:rFonts w:ascii="Times New Roman" w:hAnsi="Times New Roman" w:cs="Times New Roman"/>
          <w:sz w:val="24"/>
          <w:szCs w:val="24"/>
          <w:lang w:val="en-US"/>
        </w:rPr>
      </w:pPr>
    </w:p>
    <w:sectPr w:rsidR="008B6983" w:rsidRPr="00C21C9F" w:rsidSect="008A6528">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54FA3" w14:textId="77777777" w:rsidR="009F38D8" w:rsidRDefault="009F38D8" w:rsidP="00D27C85">
      <w:pPr>
        <w:spacing w:after="0" w:line="240" w:lineRule="auto"/>
      </w:pPr>
      <w:r>
        <w:separator/>
      </w:r>
    </w:p>
  </w:endnote>
  <w:endnote w:type="continuationSeparator" w:id="0">
    <w:p w14:paraId="3E3114DF" w14:textId="77777777" w:rsidR="009F38D8" w:rsidRDefault="009F38D8" w:rsidP="00D2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15106478"/>
      <w:docPartObj>
        <w:docPartGallery w:val="Page Numbers (Bottom of Page)"/>
        <w:docPartUnique/>
      </w:docPartObj>
    </w:sdtPr>
    <w:sdtEndPr/>
    <w:sdtContent>
      <w:p w14:paraId="61A44651" w14:textId="77777777" w:rsidR="003F7206" w:rsidRPr="003C11C0" w:rsidRDefault="003F7206">
        <w:pPr>
          <w:pStyle w:val="Footer"/>
          <w:rPr>
            <w:rFonts w:ascii="Times New Roman" w:hAnsi="Times New Roman"/>
          </w:rPr>
        </w:pPr>
        <w:r w:rsidRPr="003C11C0">
          <w:rPr>
            <w:rFonts w:ascii="Times New Roman" w:hAnsi="Times New Roman"/>
          </w:rPr>
          <w:fldChar w:fldCharType="begin"/>
        </w:r>
        <w:r w:rsidRPr="003C11C0">
          <w:rPr>
            <w:rFonts w:ascii="Times New Roman" w:hAnsi="Times New Roman"/>
          </w:rPr>
          <w:instrText>PAGE   \* MERGEFORMAT</w:instrText>
        </w:r>
        <w:r w:rsidRPr="003C11C0">
          <w:rPr>
            <w:rFonts w:ascii="Times New Roman" w:hAnsi="Times New Roman"/>
          </w:rPr>
          <w:fldChar w:fldCharType="separate"/>
        </w:r>
        <w:r w:rsidR="00794439">
          <w:rPr>
            <w:rFonts w:ascii="Times New Roman" w:hAnsi="Times New Roman"/>
            <w:noProof/>
          </w:rPr>
          <w:t>16</w:t>
        </w:r>
        <w:r w:rsidRPr="003C11C0">
          <w:rPr>
            <w:rFonts w:ascii="Times New Roman" w:hAnsi="Times New Roman"/>
          </w:rPr>
          <w:fldChar w:fldCharType="end"/>
        </w:r>
      </w:p>
    </w:sdtContent>
  </w:sdt>
  <w:p w14:paraId="762A8111" w14:textId="77777777" w:rsidR="003F7206" w:rsidRDefault="003F7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9B5F2" w14:textId="77777777" w:rsidR="009F38D8" w:rsidRDefault="009F38D8" w:rsidP="00D27C85">
      <w:pPr>
        <w:spacing w:after="0" w:line="240" w:lineRule="auto"/>
      </w:pPr>
      <w:r>
        <w:separator/>
      </w:r>
    </w:p>
  </w:footnote>
  <w:footnote w:type="continuationSeparator" w:id="0">
    <w:p w14:paraId="7C452DED" w14:textId="77777777" w:rsidR="009F38D8" w:rsidRDefault="009F38D8" w:rsidP="00D27C85">
      <w:pPr>
        <w:spacing w:after="0" w:line="240" w:lineRule="auto"/>
      </w:pPr>
      <w:r>
        <w:continuationSeparator/>
      </w:r>
    </w:p>
  </w:footnote>
  <w:footnote w:id="1">
    <w:p w14:paraId="43BCC983" w14:textId="77777777" w:rsidR="003F7206" w:rsidRPr="006516E0" w:rsidRDefault="003F7206" w:rsidP="0050064F">
      <w:pPr>
        <w:pStyle w:val="FootnoteText"/>
        <w:jc w:val="both"/>
        <w:rPr>
          <w:rFonts w:ascii="Times New Roman" w:hAnsi="Times New Roman" w:cs="Times New Roman"/>
          <w:lang w:val="en-US"/>
        </w:rPr>
      </w:pPr>
      <w:r w:rsidRPr="006516E0">
        <w:rPr>
          <w:rStyle w:val="FootnoteReference"/>
          <w:rFonts w:ascii="Times New Roman" w:hAnsi="Times New Roman" w:cs="Times New Roman"/>
        </w:rPr>
        <w:footnoteRef/>
      </w:r>
      <w:r w:rsidRPr="006516E0">
        <w:rPr>
          <w:rFonts w:ascii="Times New Roman" w:hAnsi="Times New Roman" w:cs="Times New Roman"/>
          <w:lang w:val="en-US"/>
        </w:rPr>
        <w:t xml:space="preserve"> </w:t>
      </w:r>
      <w:proofErr w:type="gramStart"/>
      <w:r w:rsidRPr="006516E0">
        <w:rPr>
          <w:rFonts w:ascii="Times New Roman" w:hAnsi="Times New Roman" w:cs="Times New Roman"/>
          <w:lang w:val="en-US"/>
        </w:rPr>
        <w:t>Ph. D. student, Center for Corporate Governance, Copenhagen Business School.</w:t>
      </w:r>
      <w:proofErr w:type="gramEnd"/>
    </w:p>
  </w:footnote>
  <w:footnote w:id="2">
    <w:p w14:paraId="3C8B9183" w14:textId="62718A53" w:rsidR="003F7206" w:rsidRPr="006516E0" w:rsidRDefault="003F7206" w:rsidP="00371D18">
      <w:pPr>
        <w:pStyle w:val="FootnoteText"/>
        <w:jc w:val="both"/>
        <w:rPr>
          <w:rFonts w:ascii="Times New Roman" w:hAnsi="Times New Roman" w:cs="Times New Roman"/>
          <w:lang w:val="en-US"/>
        </w:rPr>
      </w:pPr>
      <w:r w:rsidRPr="006516E0">
        <w:rPr>
          <w:rStyle w:val="FootnoteReference"/>
          <w:rFonts w:ascii="Times New Roman" w:hAnsi="Times New Roman" w:cs="Times New Roman"/>
        </w:rPr>
        <w:footnoteRef/>
      </w:r>
      <w:r w:rsidRPr="006516E0">
        <w:rPr>
          <w:rFonts w:ascii="Times New Roman" w:hAnsi="Times New Roman" w:cs="Times New Roman"/>
          <w:lang w:val="en-US"/>
        </w:rPr>
        <w:t xml:space="preserve"> </w:t>
      </w:r>
      <w:proofErr w:type="gramStart"/>
      <w:r w:rsidRPr="006516E0">
        <w:rPr>
          <w:rFonts w:ascii="Times New Roman" w:hAnsi="Times New Roman" w:cs="Times New Roman"/>
          <w:lang w:val="en-US"/>
        </w:rPr>
        <w:t>Research fellow</w:t>
      </w:r>
      <w:r w:rsidR="00376E3F">
        <w:rPr>
          <w:rFonts w:ascii="Times New Roman" w:hAnsi="Times New Roman" w:cs="Times New Roman"/>
          <w:lang w:val="en-US"/>
        </w:rPr>
        <w:t>,</w:t>
      </w:r>
      <w:r w:rsidRPr="006516E0">
        <w:rPr>
          <w:rFonts w:ascii="Times New Roman" w:hAnsi="Times New Roman" w:cs="Times New Roman"/>
          <w:lang w:val="en-US"/>
        </w:rPr>
        <w:t xml:space="preserve"> </w:t>
      </w:r>
      <w:r w:rsidR="00376E3F">
        <w:rPr>
          <w:rFonts w:ascii="Times New Roman" w:hAnsi="Times New Roman" w:cs="Times New Roman"/>
          <w:lang w:val="en-US"/>
        </w:rPr>
        <w:t xml:space="preserve">Post Doc, </w:t>
      </w:r>
      <w:r w:rsidRPr="006516E0">
        <w:rPr>
          <w:rFonts w:ascii="Times New Roman" w:hAnsi="Times New Roman" w:cs="Times New Roman"/>
          <w:lang w:val="en-US"/>
        </w:rPr>
        <w:t>Center for Corporate Governance, CEBR, CCP, EPAC.</w:t>
      </w:r>
      <w:proofErr w:type="gramEnd"/>
    </w:p>
  </w:footnote>
  <w:footnote w:id="3">
    <w:p w14:paraId="515A3025" w14:textId="77777777" w:rsidR="003F7206" w:rsidRPr="006516E0" w:rsidRDefault="003F7206" w:rsidP="00371D18">
      <w:pPr>
        <w:pStyle w:val="HTMLPreformatted"/>
        <w:jc w:val="both"/>
        <w:rPr>
          <w:rFonts w:ascii="Times New Roman" w:hAnsi="Times New Roman" w:cs="Times New Roman"/>
        </w:rPr>
      </w:pPr>
      <w:r w:rsidRPr="006516E0">
        <w:rPr>
          <w:rStyle w:val="FootnoteReference"/>
          <w:rFonts w:ascii="Times New Roman" w:hAnsi="Times New Roman" w:cs="Times New Roman"/>
          <w:b/>
          <w:lang w:val="da-DK"/>
        </w:rPr>
        <w:footnoteRef/>
      </w:r>
      <w:r w:rsidRPr="006516E0">
        <w:rPr>
          <w:rFonts w:ascii="Times New Roman" w:hAnsi="Times New Roman" w:cs="Times New Roman"/>
        </w:rPr>
        <w:t>Associate Professor, Ph.D., Center for Corporate Governance. Copenhagen Business School.</w:t>
      </w:r>
    </w:p>
  </w:footnote>
  <w:footnote w:id="4">
    <w:p w14:paraId="7C372001" w14:textId="77777777" w:rsidR="00376E3F" w:rsidRPr="006516E0" w:rsidRDefault="00376E3F" w:rsidP="00376E3F">
      <w:pPr>
        <w:pStyle w:val="FootnoteText"/>
        <w:jc w:val="both"/>
        <w:rPr>
          <w:rFonts w:ascii="Times New Roman" w:hAnsi="Times New Roman" w:cs="Times New Roman"/>
          <w:lang w:val="en-US"/>
        </w:rPr>
      </w:pPr>
      <w:r w:rsidRPr="006516E0">
        <w:rPr>
          <w:rStyle w:val="FootnoteReference"/>
          <w:rFonts w:ascii="Times New Roman" w:hAnsi="Times New Roman" w:cs="Times New Roman"/>
        </w:rPr>
        <w:footnoteRef/>
      </w:r>
      <w:r w:rsidRPr="006516E0">
        <w:rPr>
          <w:rFonts w:ascii="Times New Roman" w:hAnsi="Times New Roman" w:cs="Times New Roman"/>
          <w:lang w:val="en-US"/>
        </w:rPr>
        <w:t xml:space="preserve"> </w:t>
      </w:r>
      <w:r>
        <w:rPr>
          <w:rFonts w:ascii="Times New Roman" w:hAnsi="Times New Roman" w:cs="Times New Roman"/>
          <w:lang w:val="en-US"/>
        </w:rPr>
        <w:t>Professor, Center for Corporate Governance, Copenhagen Business School</w:t>
      </w:r>
    </w:p>
  </w:footnote>
  <w:footnote w:id="5">
    <w:p w14:paraId="5FF3B8C7" w14:textId="27C05B53" w:rsidR="009E769B" w:rsidRPr="009E769B" w:rsidRDefault="009E769B">
      <w:pPr>
        <w:pStyle w:val="FootnoteText"/>
        <w:rPr>
          <w:lang w:val="en-US"/>
        </w:rPr>
      </w:pPr>
      <w:r>
        <w:rPr>
          <w:rStyle w:val="FootnoteReference"/>
        </w:rPr>
        <w:footnoteRef/>
      </w:r>
      <w:r w:rsidRPr="009E769B">
        <w:rPr>
          <w:lang w:val="en-US"/>
        </w:rPr>
        <w:t xml:space="preserve"> </w:t>
      </w:r>
      <w:r>
        <w:rPr>
          <w:lang w:val="en-US"/>
        </w:rPr>
        <w:t>In a study of 119 industrial foundation charters we find this “business goal” in 68%.</w:t>
      </w:r>
    </w:p>
  </w:footnote>
  <w:footnote w:id="6">
    <w:p w14:paraId="49D05570" w14:textId="72CEBDB5" w:rsidR="007F3CCD" w:rsidRPr="00BF3DB6" w:rsidRDefault="007F3CCD">
      <w:pPr>
        <w:pStyle w:val="FootnoteText"/>
        <w:rPr>
          <w:lang w:val="en-US"/>
        </w:rPr>
      </w:pPr>
      <w:r>
        <w:rPr>
          <w:rStyle w:val="FootnoteReference"/>
        </w:rPr>
        <w:footnoteRef/>
      </w:r>
      <w:r w:rsidRPr="00BF3DB6">
        <w:rPr>
          <w:lang w:val="en-US"/>
        </w:rPr>
        <w:t xml:space="preserve"> </w:t>
      </w:r>
      <w:r w:rsidRPr="007F3CCD">
        <w:rPr>
          <w:lang w:val="en-US"/>
        </w:rPr>
        <w:t>Hansmann and Thomsen (2013a) find only 16 listed foundation-owned companies in Denmark albeit that that these companies tend to be some of the largest in the country.</w:t>
      </w:r>
    </w:p>
  </w:footnote>
  <w:footnote w:id="7">
    <w:p w14:paraId="65992E2E" w14:textId="77777777" w:rsidR="004034BD" w:rsidRPr="004E08FC" w:rsidRDefault="004034BD" w:rsidP="00E1351A">
      <w:pPr>
        <w:pStyle w:val="FootnoteText"/>
        <w:jc w:val="both"/>
      </w:pPr>
      <w:r>
        <w:rPr>
          <w:rStyle w:val="FootnoteReference"/>
        </w:rPr>
        <w:footnoteRef/>
      </w:r>
      <w:r w:rsidRPr="006A6F93">
        <w:rPr>
          <w:lang w:val="en-US"/>
        </w:rPr>
        <w:t xml:space="preserve"> We could also define a foundation’s ownership stake in terms of control and use the weakest link along the control chain. Since a chain of ownership (with more than one link) only exist in firms owned by foundations through a holding company, this change in definition only applies to the (few) observations where this is the case. </w:t>
      </w:r>
      <w:r>
        <w:t xml:space="preserve">Our results are not sensitive to this.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6136"/>
    <w:multiLevelType w:val="hybridMultilevel"/>
    <w:tmpl w:val="50C8A0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533483"/>
    <w:multiLevelType w:val="hybridMultilevel"/>
    <w:tmpl w:val="307A1636"/>
    <w:lvl w:ilvl="0" w:tplc="2220704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EF908C0"/>
    <w:multiLevelType w:val="hybridMultilevel"/>
    <w:tmpl w:val="F3F49246"/>
    <w:lvl w:ilvl="0" w:tplc="F864DA5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30B46F9"/>
    <w:multiLevelType w:val="hybridMultilevel"/>
    <w:tmpl w:val="4B1491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31B1611"/>
    <w:multiLevelType w:val="hybridMultilevel"/>
    <w:tmpl w:val="F69E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A7E0B"/>
    <w:multiLevelType w:val="hybridMultilevel"/>
    <w:tmpl w:val="F91C3D3C"/>
    <w:lvl w:ilvl="0" w:tplc="8C4498C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D1A143F"/>
    <w:multiLevelType w:val="hybridMultilevel"/>
    <w:tmpl w:val="07D26E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E887FF8"/>
    <w:multiLevelType w:val="hybridMultilevel"/>
    <w:tmpl w:val="455E7F8A"/>
    <w:lvl w:ilvl="0" w:tplc="E62CAF6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06D1F3B"/>
    <w:multiLevelType w:val="hybridMultilevel"/>
    <w:tmpl w:val="CB200C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4906E1A"/>
    <w:multiLevelType w:val="hybridMultilevel"/>
    <w:tmpl w:val="2EAAA27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59D3D0D"/>
    <w:multiLevelType w:val="hybridMultilevel"/>
    <w:tmpl w:val="61D8FC36"/>
    <w:lvl w:ilvl="0" w:tplc="09C429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165AEC"/>
    <w:multiLevelType w:val="hybridMultilevel"/>
    <w:tmpl w:val="46AA4B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BFC0D39"/>
    <w:multiLevelType w:val="hybridMultilevel"/>
    <w:tmpl w:val="3B72E7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CC2582A"/>
    <w:multiLevelType w:val="hybridMultilevel"/>
    <w:tmpl w:val="53AECA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0252F56"/>
    <w:multiLevelType w:val="hybridMultilevel"/>
    <w:tmpl w:val="FC365C0C"/>
    <w:lvl w:ilvl="0" w:tplc="3F84325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B97559E"/>
    <w:multiLevelType w:val="hybridMultilevel"/>
    <w:tmpl w:val="D6CA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2420D"/>
    <w:multiLevelType w:val="hybridMultilevel"/>
    <w:tmpl w:val="0C8E27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1B747CE"/>
    <w:multiLevelType w:val="hybridMultilevel"/>
    <w:tmpl w:val="83220D1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4B05440"/>
    <w:multiLevelType w:val="hybridMultilevel"/>
    <w:tmpl w:val="260E490A"/>
    <w:lvl w:ilvl="0" w:tplc="8560430A">
      <w:start w:val="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45A37F2"/>
    <w:multiLevelType w:val="hybridMultilevel"/>
    <w:tmpl w:val="7ABAD192"/>
    <w:lvl w:ilvl="0" w:tplc="308A7330">
      <w:numFmt w:val="bullet"/>
      <w:lvlText w:val=""/>
      <w:lvlJc w:val="left"/>
      <w:pPr>
        <w:ind w:left="720" w:hanging="360"/>
      </w:pPr>
      <w:rPr>
        <w:rFonts w:ascii="Wingdings" w:eastAsiaTheme="minorHAnsi" w:hAnsi="Wingdings" w:cstheme="minorBid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D6110D9"/>
    <w:multiLevelType w:val="hybridMultilevel"/>
    <w:tmpl w:val="7AB05458"/>
    <w:lvl w:ilvl="0" w:tplc="E56A96FA">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A0325A6"/>
    <w:multiLevelType w:val="hybridMultilevel"/>
    <w:tmpl w:val="C2F60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C452393"/>
    <w:multiLevelType w:val="hybridMultilevel"/>
    <w:tmpl w:val="A748FCF2"/>
    <w:lvl w:ilvl="0" w:tplc="2F16C8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5"/>
  </w:num>
  <w:num w:numId="5">
    <w:abstractNumId w:val="2"/>
  </w:num>
  <w:num w:numId="6">
    <w:abstractNumId w:val="19"/>
  </w:num>
  <w:num w:numId="7">
    <w:abstractNumId w:val="3"/>
  </w:num>
  <w:num w:numId="8">
    <w:abstractNumId w:val="10"/>
  </w:num>
  <w:num w:numId="9">
    <w:abstractNumId w:val="13"/>
  </w:num>
  <w:num w:numId="10">
    <w:abstractNumId w:val="21"/>
  </w:num>
  <w:num w:numId="11">
    <w:abstractNumId w:val="9"/>
  </w:num>
  <w:num w:numId="12">
    <w:abstractNumId w:val="14"/>
  </w:num>
  <w:num w:numId="13">
    <w:abstractNumId w:val="6"/>
  </w:num>
  <w:num w:numId="14">
    <w:abstractNumId w:val="12"/>
  </w:num>
  <w:num w:numId="15">
    <w:abstractNumId w:val="15"/>
  </w:num>
  <w:num w:numId="16">
    <w:abstractNumId w:val="4"/>
  </w:num>
  <w:num w:numId="17">
    <w:abstractNumId w:val="16"/>
  </w:num>
  <w:num w:numId="18">
    <w:abstractNumId w:val="0"/>
  </w:num>
  <w:num w:numId="19">
    <w:abstractNumId w:val="18"/>
  </w:num>
  <w:num w:numId="20">
    <w:abstractNumId w:val="7"/>
  </w:num>
  <w:num w:numId="21">
    <w:abstractNumId w:val="22"/>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14"/>
    <w:rsid w:val="00000B69"/>
    <w:rsid w:val="00002D00"/>
    <w:rsid w:val="00004E49"/>
    <w:rsid w:val="00007F20"/>
    <w:rsid w:val="00014CB7"/>
    <w:rsid w:val="00025E05"/>
    <w:rsid w:val="0003358F"/>
    <w:rsid w:val="00033BD0"/>
    <w:rsid w:val="00034578"/>
    <w:rsid w:val="00034CA1"/>
    <w:rsid w:val="000610C6"/>
    <w:rsid w:val="00066682"/>
    <w:rsid w:val="000711E1"/>
    <w:rsid w:val="00074B33"/>
    <w:rsid w:val="00076738"/>
    <w:rsid w:val="00077863"/>
    <w:rsid w:val="00082C9F"/>
    <w:rsid w:val="000845CF"/>
    <w:rsid w:val="00085CC9"/>
    <w:rsid w:val="00090ADC"/>
    <w:rsid w:val="000931D8"/>
    <w:rsid w:val="00096B3C"/>
    <w:rsid w:val="000A0DD0"/>
    <w:rsid w:val="000A1DFD"/>
    <w:rsid w:val="000A2BF6"/>
    <w:rsid w:val="000A40FD"/>
    <w:rsid w:val="000A7EBB"/>
    <w:rsid w:val="000A7FD7"/>
    <w:rsid w:val="000B0197"/>
    <w:rsid w:val="000B0CBF"/>
    <w:rsid w:val="000B1B59"/>
    <w:rsid w:val="000B1BED"/>
    <w:rsid w:val="000B4381"/>
    <w:rsid w:val="000B6154"/>
    <w:rsid w:val="000B7360"/>
    <w:rsid w:val="000C0D41"/>
    <w:rsid w:val="000C190C"/>
    <w:rsid w:val="000C2B2F"/>
    <w:rsid w:val="000D2CD4"/>
    <w:rsid w:val="000D4186"/>
    <w:rsid w:val="000E156F"/>
    <w:rsid w:val="000E1DA6"/>
    <w:rsid w:val="000E59AD"/>
    <w:rsid w:val="000F0C77"/>
    <w:rsid w:val="000F261D"/>
    <w:rsid w:val="000F2E2E"/>
    <w:rsid w:val="000F4EDB"/>
    <w:rsid w:val="000F6808"/>
    <w:rsid w:val="000F7A00"/>
    <w:rsid w:val="00101B68"/>
    <w:rsid w:val="00104E41"/>
    <w:rsid w:val="001125AE"/>
    <w:rsid w:val="00112F63"/>
    <w:rsid w:val="00123258"/>
    <w:rsid w:val="001255B1"/>
    <w:rsid w:val="00131148"/>
    <w:rsid w:val="00146AE3"/>
    <w:rsid w:val="00146BB2"/>
    <w:rsid w:val="00147187"/>
    <w:rsid w:val="001503CD"/>
    <w:rsid w:val="00152B66"/>
    <w:rsid w:val="001572BF"/>
    <w:rsid w:val="00161205"/>
    <w:rsid w:val="00161985"/>
    <w:rsid w:val="00161EAF"/>
    <w:rsid w:val="00163197"/>
    <w:rsid w:val="00163830"/>
    <w:rsid w:val="00163867"/>
    <w:rsid w:val="001657E5"/>
    <w:rsid w:val="00167507"/>
    <w:rsid w:val="001702EA"/>
    <w:rsid w:val="00172125"/>
    <w:rsid w:val="0017266C"/>
    <w:rsid w:val="00172D94"/>
    <w:rsid w:val="0017677F"/>
    <w:rsid w:val="0018645E"/>
    <w:rsid w:val="00186D91"/>
    <w:rsid w:val="001933A4"/>
    <w:rsid w:val="00193E6E"/>
    <w:rsid w:val="0019754A"/>
    <w:rsid w:val="001A2AC2"/>
    <w:rsid w:val="001A2D5C"/>
    <w:rsid w:val="001A5CB0"/>
    <w:rsid w:val="001A5DCF"/>
    <w:rsid w:val="001A632B"/>
    <w:rsid w:val="001B566E"/>
    <w:rsid w:val="001B74EB"/>
    <w:rsid w:val="001C0F90"/>
    <w:rsid w:val="001C1860"/>
    <w:rsid w:val="001C2B1F"/>
    <w:rsid w:val="001D24F2"/>
    <w:rsid w:val="001D30EB"/>
    <w:rsid w:val="001D3E6F"/>
    <w:rsid w:val="001D59FE"/>
    <w:rsid w:val="001E34D0"/>
    <w:rsid w:val="001F186B"/>
    <w:rsid w:val="001F1C58"/>
    <w:rsid w:val="001F4068"/>
    <w:rsid w:val="001F481F"/>
    <w:rsid w:val="001F5932"/>
    <w:rsid w:val="00200726"/>
    <w:rsid w:val="00210532"/>
    <w:rsid w:val="00210A12"/>
    <w:rsid w:val="00210BAF"/>
    <w:rsid w:val="00211CB3"/>
    <w:rsid w:val="00212793"/>
    <w:rsid w:val="00217A03"/>
    <w:rsid w:val="002211B8"/>
    <w:rsid w:val="00221588"/>
    <w:rsid w:val="002246C0"/>
    <w:rsid w:val="00226CCA"/>
    <w:rsid w:val="0023174B"/>
    <w:rsid w:val="00242D9C"/>
    <w:rsid w:val="002514E7"/>
    <w:rsid w:val="00257435"/>
    <w:rsid w:val="0026012F"/>
    <w:rsid w:val="002612DB"/>
    <w:rsid w:val="00266F9C"/>
    <w:rsid w:val="00292C6A"/>
    <w:rsid w:val="00293001"/>
    <w:rsid w:val="00294262"/>
    <w:rsid w:val="002952C3"/>
    <w:rsid w:val="002A4BFB"/>
    <w:rsid w:val="002B13FF"/>
    <w:rsid w:val="002B4C35"/>
    <w:rsid w:val="002B60C7"/>
    <w:rsid w:val="002C252A"/>
    <w:rsid w:val="002C6023"/>
    <w:rsid w:val="002D2AA1"/>
    <w:rsid w:val="002D6AD3"/>
    <w:rsid w:val="002D7622"/>
    <w:rsid w:val="002D76EE"/>
    <w:rsid w:val="002E08E9"/>
    <w:rsid w:val="002E191A"/>
    <w:rsid w:val="002F1585"/>
    <w:rsid w:val="002F340D"/>
    <w:rsid w:val="002F7193"/>
    <w:rsid w:val="002F77C9"/>
    <w:rsid w:val="003033F6"/>
    <w:rsid w:val="00314B44"/>
    <w:rsid w:val="00316254"/>
    <w:rsid w:val="00326FEC"/>
    <w:rsid w:val="00331ADB"/>
    <w:rsid w:val="003356EF"/>
    <w:rsid w:val="00340874"/>
    <w:rsid w:val="003433F4"/>
    <w:rsid w:val="003516F6"/>
    <w:rsid w:val="00356D7E"/>
    <w:rsid w:val="00364DD6"/>
    <w:rsid w:val="00364E55"/>
    <w:rsid w:val="003706DC"/>
    <w:rsid w:val="00371D18"/>
    <w:rsid w:val="0037304E"/>
    <w:rsid w:val="003744AC"/>
    <w:rsid w:val="00376E3F"/>
    <w:rsid w:val="00382A72"/>
    <w:rsid w:val="003835D8"/>
    <w:rsid w:val="00386244"/>
    <w:rsid w:val="00387F57"/>
    <w:rsid w:val="00391D12"/>
    <w:rsid w:val="00396AAF"/>
    <w:rsid w:val="00397F42"/>
    <w:rsid w:val="003A0001"/>
    <w:rsid w:val="003A12B1"/>
    <w:rsid w:val="003A257F"/>
    <w:rsid w:val="003A2F8E"/>
    <w:rsid w:val="003A4336"/>
    <w:rsid w:val="003A5814"/>
    <w:rsid w:val="003C11C0"/>
    <w:rsid w:val="003C20B5"/>
    <w:rsid w:val="003C23DB"/>
    <w:rsid w:val="003D2200"/>
    <w:rsid w:val="003D7CBE"/>
    <w:rsid w:val="003E09D0"/>
    <w:rsid w:val="003E11A5"/>
    <w:rsid w:val="003E1483"/>
    <w:rsid w:val="003E3D20"/>
    <w:rsid w:val="003F7206"/>
    <w:rsid w:val="003F72AF"/>
    <w:rsid w:val="00401850"/>
    <w:rsid w:val="00402A56"/>
    <w:rsid w:val="004034BD"/>
    <w:rsid w:val="004036B9"/>
    <w:rsid w:val="0041030B"/>
    <w:rsid w:val="0041498B"/>
    <w:rsid w:val="00414B9A"/>
    <w:rsid w:val="00415121"/>
    <w:rsid w:val="00416414"/>
    <w:rsid w:val="00417E96"/>
    <w:rsid w:val="00420B74"/>
    <w:rsid w:val="00421994"/>
    <w:rsid w:val="00426173"/>
    <w:rsid w:val="00430D87"/>
    <w:rsid w:val="00440D11"/>
    <w:rsid w:val="00441729"/>
    <w:rsid w:val="00441A70"/>
    <w:rsid w:val="00444229"/>
    <w:rsid w:val="004447C3"/>
    <w:rsid w:val="0045390C"/>
    <w:rsid w:val="00453A89"/>
    <w:rsid w:val="00461C83"/>
    <w:rsid w:val="00464860"/>
    <w:rsid w:val="00473304"/>
    <w:rsid w:val="00477099"/>
    <w:rsid w:val="0048274C"/>
    <w:rsid w:val="0048429B"/>
    <w:rsid w:val="00484398"/>
    <w:rsid w:val="0048464D"/>
    <w:rsid w:val="00486940"/>
    <w:rsid w:val="00487481"/>
    <w:rsid w:val="0049323A"/>
    <w:rsid w:val="004935B8"/>
    <w:rsid w:val="00494DE3"/>
    <w:rsid w:val="00495C15"/>
    <w:rsid w:val="004966AF"/>
    <w:rsid w:val="004A1331"/>
    <w:rsid w:val="004A36A3"/>
    <w:rsid w:val="004A529A"/>
    <w:rsid w:val="004A5881"/>
    <w:rsid w:val="004A72CE"/>
    <w:rsid w:val="004A7E68"/>
    <w:rsid w:val="004B3BDD"/>
    <w:rsid w:val="004B3DA0"/>
    <w:rsid w:val="004B65B5"/>
    <w:rsid w:val="004B67BB"/>
    <w:rsid w:val="004D3866"/>
    <w:rsid w:val="004D76E4"/>
    <w:rsid w:val="004D79DC"/>
    <w:rsid w:val="004D7AB4"/>
    <w:rsid w:val="004E267F"/>
    <w:rsid w:val="004E3540"/>
    <w:rsid w:val="004E6948"/>
    <w:rsid w:val="004E7BEE"/>
    <w:rsid w:val="004F060D"/>
    <w:rsid w:val="004F255A"/>
    <w:rsid w:val="0050064F"/>
    <w:rsid w:val="00514FF6"/>
    <w:rsid w:val="005154E3"/>
    <w:rsid w:val="00531E37"/>
    <w:rsid w:val="00535A2C"/>
    <w:rsid w:val="00535FE7"/>
    <w:rsid w:val="00537602"/>
    <w:rsid w:val="00542EFB"/>
    <w:rsid w:val="00547947"/>
    <w:rsid w:val="0055100C"/>
    <w:rsid w:val="0055522C"/>
    <w:rsid w:val="0056034E"/>
    <w:rsid w:val="00562D85"/>
    <w:rsid w:val="00571718"/>
    <w:rsid w:val="00573E76"/>
    <w:rsid w:val="00575D34"/>
    <w:rsid w:val="005767EC"/>
    <w:rsid w:val="00580E1B"/>
    <w:rsid w:val="005815C7"/>
    <w:rsid w:val="005815D2"/>
    <w:rsid w:val="00593E32"/>
    <w:rsid w:val="005956EA"/>
    <w:rsid w:val="005A3725"/>
    <w:rsid w:val="005A5A4C"/>
    <w:rsid w:val="005B16BA"/>
    <w:rsid w:val="005B25D7"/>
    <w:rsid w:val="005C31E5"/>
    <w:rsid w:val="005C40E9"/>
    <w:rsid w:val="005C63AE"/>
    <w:rsid w:val="005C7E47"/>
    <w:rsid w:val="005D75B8"/>
    <w:rsid w:val="005E1EB5"/>
    <w:rsid w:val="005E473D"/>
    <w:rsid w:val="005F31A0"/>
    <w:rsid w:val="005F401A"/>
    <w:rsid w:val="006011FE"/>
    <w:rsid w:val="00602836"/>
    <w:rsid w:val="0060311A"/>
    <w:rsid w:val="00605D6A"/>
    <w:rsid w:val="00607CAD"/>
    <w:rsid w:val="00610120"/>
    <w:rsid w:val="00622F25"/>
    <w:rsid w:val="00630E92"/>
    <w:rsid w:val="006358DD"/>
    <w:rsid w:val="00640A71"/>
    <w:rsid w:val="00641DF0"/>
    <w:rsid w:val="00641F99"/>
    <w:rsid w:val="006422A7"/>
    <w:rsid w:val="0065156C"/>
    <w:rsid w:val="006516E0"/>
    <w:rsid w:val="006526A7"/>
    <w:rsid w:val="00661336"/>
    <w:rsid w:val="006619FA"/>
    <w:rsid w:val="00670501"/>
    <w:rsid w:val="00670E40"/>
    <w:rsid w:val="0067773C"/>
    <w:rsid w:val="00680E5D"/>
    <w:rsid w:val="0068130B"/>
    <w:rsid w:val="006847D0"/>
    <w:rsid w:val="00690928"/>
    <w:rsid w:val="00695B44"/>
    <w:rsid w:val="00695BAB"/>
    <w:rsid w:val="0069717C"/>
    <w:rsid w:val="006A2488"/>
    <w:rsid w:val="006A5681"/>
    <w:rsid w:val="006A6F93"/>
    <w:rsid w:val="006B0A88"/>
    <w:rsid w:val="006B20C3"/>
    <w:rsid w:val="006B398C"/>
    <w:rsid w:val="006C0434"/>
    <w:rsid w:val="006C06E2"/>
    <w:rsid w:val="006C11BC"/>
    <w:rsid w:val="006C34DD"/>
    <w:rsid w:val="006C37A3"/>
    <w:rsid w:val="006D1302"/>
    <w:rsid w:val="006F76C2"/>
    <w:rsid w:val="007009A0"/>
    <w:rsid w:val="00702AD0"/>
    <w:rsid w:val="00703FC1"/>
    <w:rsid w:val="00706276"/>
    <w:rsid w:val="0070667F"/>
    <w:rsid w:val="007143E6"/>
    <w:rsid w:val="00720E6E"/>
    <w:rsid w:val="00720F18"/>
    <w:rsid w:val="00723779"/>
    <w:rsid w:val="0073103B"/>
    <w:rsid w:val="007310D9"/>
    <w:rsid w:val="0073195A"/>
    <w:rsid w:val="007324BF"/>
    <w:rsid w:val="007325C9"/>
    <w:rsid w:val="00737A24"/>
    <w:rsid w:val="007417A8"/>
    <w:rsid w:val="00743C58"/>
    <w:rsid w:val="00744668"/>
    <w:rsid w:val="007459B9"/>
    <w:rsid w:val="0074759C"/>
    <w:rsid w:val="00754F74"/>
    <w:rsid w:val="00756EBD"/>
    <w:rsid w:val="00757DAB"/>
    <w:rsid w:val="007620C9"/>
    <w:rsid w:val="00762AE9"/>
    <w:rsid w:val="00764297"/>
    <w:rsid w:val="00764359"/>
    <w:rsid w:val="00766CB4"/>
    <w:rsid w:val="00772AF5"/>
    <w:rsid w:val="00783DBD"/>
    <w:rsid w:val="007863F2"/>
    <w:rsid w:val="007914A7"/>
    <w:rsid w:val="00794439"/>
    <w:rsid w:val="00796551"/>
    <w:rsid w:val="00797BA2"/>
    <w:rsid w:val="007A1644"/>
    <w:rsid w:val="007A44F6"/>
    <w:rsid w:val="007A4EB5"/>
    <w:rsid w:val="007A54BA"/>
    <w:rsid w:val="007B46DC"/>
    <w:rsid w:val="007B4ADD"/>
    <w:rsid w:val="007B56F0"/>
    <w:rsid w:val="007C2D69"/>
    <w:rsid w:val="007C3BBC"/>
    <w:rsid w:val="007C44E9"/>
    <w:rsid w:val="007C7F91"/>
    <w:rsid w:val="007D249E"/>
    <w:rsid w:val="007D2CD5"/>
    <w:rsid w:val="007D57BB"/>
    <w:rsid w:val="007D6F9B"/>
    <w:rsid w:val="007E394F"/>
    <w:rsid w:val="007F1984"/>
    <w:rsid w:val="007F3CCD"/>
    <w:rsid w:val="007F6227"/>
    <w:rsid w:val="00801217"/>
    <w:rsid w:val="0080160D"/>
    <w:rsid w:val="0080226E"/>
    <w:rsid w:val="008029BC"/>
    <w:rsid w:val="00802FF4"/>
    <w:rsid w:val="008047AF"/>
    <w:rsid w:val="00805E48"/>
    <w:rsid w:val="008108D4"/>
    <w:rsid w:val="00814C87"/>
    <w:rsid w:val="00823B1B"/>
    <w:rsid w:val="00840AC3"/>
    <w:rsid w:val="008448D9"/>
    <w:rsid w:val="00846613"/>
    <w:rsid w:val="00847087"/>
    <w:rsid w:val="00862AAC"/>
    <w:rsid w:val="008772EE"/>
    <w:rsid w:val="00882C51"/>
    <w:rsid w:val="008846A7"/>
    <w:rsid w:val="00891CB4"/>
    <w:rsid w:val="00891EF5"/>
    <w:rsid w:val="00892825"/>
    <w:rsid w:val="00892A1C"/>
    <w:rsid w:val="00893346"/>
    <w:rsid w:val="00893595"/>
    <w:rsid w:val="0089507D"/>
    <w:rsid w:val="0089515E"/>
    <w:rsid w:val="0089552C"/>
    <w:rsid w:val="00896C64"/>
    <w:rsid w:val="008A63FF"/>
    <w:rsid w:val="008A6528"/>
    <w:rsid w:val="008B1888"/>
    <w:rsid w:val="008B5E6E"/>
    <w:rsid w:val="008B6983"/>
    <w:rsid w:val="008B6FFF"/>
    <w:rsid w:val="008B721F"/>
    <w:rsid w:val="008C104C"/>
    <w:rsid w:val="008C1BD0"/>
    <w:rsid w:val="008C5ABC"/>
    <w:rsid w:val="008D4914"/>
    <w:rsid w:val="008E1049"/>
    <w:rsid w:val="008F03CE"/>
    <w:rsid w:val="008F0C1D"/>
    <w:rsid w:val="008F3315"/>
    <w:rsid w:val="008F62EA"/>
    <w:rsid w:val="00903495"/>
    <w:rsid w:val="009070C9"/>
    <w:rsid w:val="00907520"/>
    <w:rsid w:val="0090770D"/>
    <w:rsid w:val="00911207"/>
    <w:rsid w:val="00915A9B"/>
    <w:rsid w:val="0091655B"/>
    <w:rsid w:val="009209DF"/>
    <w:rsid w:val="009217F9"/>
    <w:rsid w:val="00921E16"/>
    <w:rsid w:val="00925A33"/>
    <w:rsid w:val="009312DF"/>
    <w:rsid w:val="00933EEC"/>
    <w:rsid w:val="00934581"/>
    <w:rsid w:val="00936E86"/>
    <w:rsid w:val="00944612"/>
    <w:rsid w:val="0094659B"/>
    <w:rsid w:val="0094772E"/>
    <w:rsid w:val="009505E3"/>
    <w:rsid w:val="009509A5"/>
    <w:rsid w:val="00952524"/>
    <w:rsid w:val="00952B71"/>
    <w:rsid w:val="0095390C"/>
    <w:rsid w:val="0095758D"/>
    <w:rsid w:val="00961ED7"/>
    <w:rsid w:val="009667DB"/>
    <w:rsid w:val="0096785C"/>
    <w:rsid w:val="009757A3"/>
    <w:rsid w:val="009870AA"/>
    <w:rsid w:val="0099254A"/>
    <w:rsid w:val="009929AD"/>
    <w:rsid w:val="00994562"/>
    <w:rsid w:val="009A0BE4"/>
    <w:rsid w:val="009A3ED9"/>
    <w:rsid w:val="009A5433"/>
    <w:rsid w:val="009A7C1B"/>
    <w:rsid w:val="009B6752"/>
    <w:rsid w:val="009B700D"/>
    <w:rsid w:val="009C20A8"/>
    <w:rsid w:val="009C231C"/>
    <w:rsid w:val="009C3DD1"/>
    <w:rsid w:val="009C4D49"/>
    <w:rsid w:val="009C5D26"/>
    <w:rsid w:val="009C732B"/>
    <w:rsid w:val="009C7812"/>
    <w:rsid w:val="009D3639"/>
    <w:rsid w:val="009D6242"/>
    <w:rsid w:val="009D6306"/>
    <w:rsid w:val="009E1841"/>
    <w:rsid w:val="009E2F6C"/>
    <w:rsid w:val="009E769B"/>
    <w:rsid w:val="009F1742"/>
    <w:rsid w:val="009F21E8"/>
    <w:rsid w:val="009F38D8"/>
    <w:rsid w:val="009F429E"/>
    <w:rsid w:val="009F5C52"/>
    <w:rsid w:val="009F5FAC"/>
    <w:rsid w:val="00A017B5"/>
    <w:rsid w:val="00A031E8"/>
    <w:rsid w:val="00A04125"/>
    <w:rsid w:val="00A04155"/>
    <w:rsid w:val="00A14A94"/>
    <w:rsid w:val="00A16049"/>
    <w:rsid w:val="00A21833"/>
    <w:rsid w:val="00A21BA4"/>
    <w:rsid w:val="00A315FD"/>
    <w:rsid w:val="00A34330"/>
    <w:rsid w:val="00A370BC"/>
    <w:rsid w:val="00A37537"/>
    <w:rsid w:val="00A37EC0"/>
    <w:rsid w:val="00A402DA"/>
    <w:rsid w:val="00A42606"/>
    <w:rsid w:val="00A46ABF"/>
    <w:rsid w:val="00A60250"/>
    <w:rsid w:val="00A602E5"/>
    <w:rsid w:val="00A606F3"/>
    <w:rsid w:val="00A655C8"/>
    <w:rsid w:val="00A65DD8"/>
    <w:rsid w:val="00A6645E"/>
    <w:rsid w:val="00A70613"/>
    <w:rsid w:val="00A81CCE"/>
    <w:rsid w:val="00A844F4"/>
    <w:rsid w:val="00A9016D"/>
    <w:rsid w:val="00A97B00"/>
    <w:rsid w:val="00AA3D5C"/>
    <w:rsid w:val="00AA5881"/>
    <w:rsid w:val="00AB0DE0"/>
    <w:rsid w:val="00AB6F50"/>
    <w:rsid w:val="00AC2EA3"/>
    <w:rsid w:val="00AC55FE"/>
    <w:rsid w:val="00AD29A3"/>
    <w:rsid w:val="00AD3C2F"/>
    <w:rsid w:val="00AD46D5"/>
    <w:rsid w:val="00AD710D"/>
    <w:rsid w:val="00AD7434"/>
    <w:rsid w:val="00AE1052"/>
    <w:rsid w:val="00AE3A6F"/>
    <w:rsid w:val="00AE6756"/>
    <w:rsid w:val="00AF04B5"/>
    <w:rsid w:val="00AF12CB"/>
    <w:rsid w:val="00AF32CA"/>
    <w:rsid w:val="00AF6E8D"/>
    <w:rsid w:val="00AF78C1"/>
    <w:rsid w:val="00B043BF"/>
    <w:rsid w:val="00B07450"/>
    <w:rsid w:val="00B07D8C"/>
    <w:rsid w:val="00B12D69"/>
    <w:rsid w:val="00B16D9A"/>
    <w:rsid w:val="00B204CB"/>
    <w:rsid w:val="00B24F6D"/>
    <w:rsid w:val="00B25FBD"/>
    <w:rsid w:val="00B41E25"/>
    <w:rsid w:val="00B4492E"/>
    <w:rsid w:val="00B4724A"/>
    <w:rsid w:val="00B54BC5"/>
    <w:rsid w:val="00B61273"/>
    <w:rsid w:val="00B61629"/>
    <w:rsid w:val="00B64C53"/>
    <w:rsid w:val="00B64C9A"/>
    <w:rsid w:val="00B656E2"/>
    <w:rsid w:val="00B73AE7"/>
    <w:rsid w:val="00B761AB"/>
    <w:rsid w:val="00B85CE8"/>
    <w:rsid w:val="00B86028"/>
    <w:rsid w:val="00B87926"/>
    <w:rsid w:val="00B969AE"/>
    <w:rsid w:val="00BA272B"/>
    <w:rsid w:val="00BA47CF"/>
    <w:rsid w:val="00BB2671"/>
    <w:rsid w:val="00BB2BEF"/>
    <w:rsid w:val="00BB5755"/>
    <w:rsid w:val="00BB6775"/>
    <w:rsid w:val="00BB74F0"/>
    <w:rsid w:val="00BC14C6"/>
    <w:rsid w:val="00BD4557"/>
    <w:rsid w:val="00BD586F"/>
    <w:rsid w:val="00BE2A58"/>
    <w:rsid w:val="00BE2DDD"/>
    <w:rsid w:val="00BE64CD"/>
    <w:rsid w:val="00BF02F2"/>
    <w:rsid w:val="00BF0A79"/>
    <w:rsid w:val="00BF1249"/>
    <w:rsid w:val="00BF3DB6"/>
    <w:rsid w:val="00BF7244"/>
    <w:rsid w:val="00BF73F4"/>
    <w:rsid w:val="00C01E3C"/>
    <w:rsid w:val="00C03FFC"/>
    <w:rsid w:val="00C1042D"/>
    <w:rsid w:val="00C1572D"/>
    <w:rsid w:val="00C164A0"/>
    <w:rsid w:val="00C20407"/>
    <w:rsid w:val="00C21C9F"/>
    <w:rsid w:val="00C222CD"/>
    <w:rsid w:val="00C22759"/>
    <w:rsid w:val="00C31D53"/>
    <w:rsid w:val="00C3379C"/>
    <w:rsid w:val="00C342D3"/>
    <w:rsid w:val="00C35AAB"/>
    <w:rsid w:val="00C36469"/>
    <w:rsid w:val="00C371B4"/>
    <w:rsid w:val="00C45013"/>
    <w:rsid w:val="00C45156"/>
    <w:rsid w:val="00C454EA"/>
    <w:rsid w:val="00C4710B"/>
    <w:rsid w:val="00C70076"/>
    <w:rsid w:val="00C7022A"/>
    <w:rsid w:val="00C72303"/>
    <w:rsid w:val="00C74338"/>
    <w:rsid w:val="00C75C4D"/>
    <w:rsid w:val="00C77CBD"/>
    <w:rsid w:val="00C81D0A"/>
    <w:rsid w:val="00C85136"/>
    <w:rsid w:val="00C936AD"/>
    <w:rsid w:val="00C95586"/>
    <w:rsid w:val="00C974EA"/>
    <w:rsid w:val="00CA051F"/>
    <w:rsid w:val="00CA11C2"/>
    <w:rsid w:val="00CA38A1"/>
    <w:rsid w:val="00CB1104"/>
    <w:rsid w:val="00CB6404"/>
    <w:rsid w:val="00CB652B"/>
    <w:rsid w:val="00CB6AE8"/>
    <w:rsid w:val="00CC4715"/>
    <w:rsid w:val="00CC6673"/>
    <w:rsid w:val="00CC7FDD"/>
    <w:rsid w:val="00CD0DFC"/>
    <w:rsid w:val="00CD12DA"/>
    <w:rsid w:val="00CD1B92"/>
    <w:rsid w:val="00CE1234"/>
    <w:rsid w:val="00CE2784"/>
    <w:rsid w:val="00CE3898"/>
    <w:rsid w:val="00CE5B89"/>
    <w:rsid w:val="00CF0DE7"/>
    <w:rsid w:val="00CF2864"/>
    <w:rsid w:val="00CF46A3"/>
    <w:rsid w:val="00CF473E"/>
    <w:rsid w:val="00CF776E"/>
    <w:rsid w:val="00D05460"/>
    <w:rsid w:val="00D055F9"/>
    <w:rsid w:val="00D10206"/>
    <w:rsid w:val="00D14DE1"/>
    <w:rsid w:val="00D156DE"/>
    <w:rsid w:val="00D2166A"/>
    <w:rsid w:val="00D229F8"/>
    <w:rsid w:val="00D22DFB"/>
    <w:rsid w:val="00D2509C"/>
    <w:rsid w:val="00D26D82"/>
    <w:rsid w:val="00D27C85"/>
    <w:rsid w:val="00D31A3E"/>
    <w:rsid w:val="00D365D3"/>
    <w:rsid w:val="00D548DA"/>
    <w:rsid w:val="00D563EC"/>
    <w:rsid w:val="00D56753"/>
    <w:rsid w:val="00D6180E"/>
    <w:rsid w:val="00D67DC4"/>
    <w:rsid w:val="00D70A8D"/>
    <w:rsid w:val="00D77909"/>
    <w:rsid w:val="00D80E64"/>
    <w:rsid w:val="00D81BEF"/>
    <w:rsid w:val="00D842EC"/>
    <w:rsid w:val="00D91BC9"/>
    <w:rsid w:val="00DA753A"/>
    <w:rsid w:val="00DB44E3"/>
    <w:rsid w:val="00DB5F61"/>
    <w:rsid w:val="00DC08A2"/>
    <w:rsid w:val="00DC14AD"/>
    <w:rsid w:val="00DC2D3B"/>
    <w:rsid w:val="00DC57DE"/>
    <w:rsid w:val="00DC72CC"/>
    <w:rsid w:val="00DD388C"/>
    <w:rsid w:val="00DD3A73"/>
    <w:rsid w:val="00DE0444"/>
    <w:rsid w:val="00DE1919"/>
    <w:rsid w:val="00DE2124"/>
    <w:rsid w:val="00DE3EF1"/>
    <w:rsid w:val="00DE66E7"/>
    <w:rsid w:val="00DF13B3"/>
    <w:rsid w:val="00DF685B"/>
    <w:rsid w:val="00E02445"/>
    <w:rsid w:val="00E027C0"/>
    <w:rsid w:val="00E03586"/>
    <w:rsid w:val="00E07478"/>
    <w:rsid w:val="00E12214"/>
    <w:rsid w:val="00E12C3B"/>
    <w:rsid w:val="00E144F4"/>
    <w:rsid w:val="00E202F7"/>
    <w:rsid w:val="00E20D06"/>
    <w:rsid w:val="00E21164"/>
    <w:rsid w:val="00E30A24"/>
    <w:rsid w:val="00E36F0E"/>
    <w:rsid w:val="00E37708"/>
    <w:rsid w:val="00E43522"/>
    <w:rsid w:val="00E43952"/>
    <w:rsid w:val="00E460A9"/>
    <w:rsid w:val="00E50AF9"/>
    <w:rsid w:val="00E52694"/>
    <w:rsid w:val="00E559F5"/>
    <w:rsid w:val="00E618A9"/>
    <w:rsid w:val="00E65541"/>
    <w:rsid w:val="00E707CA"/>
    <w:rsid w:val="00E73A62"/>
    <w:rsid w:val="00E73E4D"/>
    <w:rsid w:val="00E8352F"/>
    <w:rsid w:val="00E83C3F"/>
    <w:rsid w:val="00E840B9"/>
    <w:rsid w:val="00E8580F"/>
    <w:rsid w:val="00E87C51"/>
    <w:rsid w:val="00E9271E"/>
    <w:rsid w:val="00E93438"/>
    <w:rsid w:val="00E960F5"/>
    <w:rsid w:val="00E963D8"/>
    <w:rsid w:val="00E96553"/>
    <w:rsid w:val="00E97BE5"/>
    <w:rsid w:val="00EA1D7F"/>
    <w:rsid w:val="00EA22F6"/>
    <w:rsid w:val="00EA28D1"/>
    <w:rsid w:val="00EA2F5E"/>
    <w:rsid w:val="00EA41E4"/>
    <w:rsid w:val="00EB2EDC"/>
    <w:rsid w:val="00EB4B86"/>
    <w:rsid w:val="00EC038B"/>
    <w:rsid w:val="00EC4A08"/>
    <w:rsid w:val="00ED66A0"/>
    <w:rsid w:val="00EE02CE"/>
    <w:rsid w:val="00EE0DC3"/>
    <w:rsid w:val="00EE1507"/>
    <w:rsid w:val="00EE5DCF"/>
    <w:rsid w:val="00EE7193"/>
    <w:rsid w:val="00EE751C"/>
    <w:rsid w:val="00EE7E6F"/>
    <w:rsid w:val="00EF0C5C"/>
    <w:rsid w:val="00EF18A9"/>
    <w:rsid w:val="00EF2D21"/>
    <w:rsid w:val="00EF395B"/>
    <w:rsid w:val="00EF7407"/>
    <w:rsid w:val="00F04CC8"/>
    <w:rsid w:val="00F06F2B"/>
    <w:rsid w:val="00F0728D"/>
    <w:rsid w:val="00F07DE2"/>
    <w:rsid w:val="00F11C07"/>
    <w:rsid w:val="00F12FDE"/>
    <w:rsid w:val="00F145F0"/>
    <w:rsid w:val="00F152F7"/>
    <w:rsid w:val="00F1558E"/>
    <w:rsid w:val="00F203BC"/>
    <w:rsid w:val="00F21390"/>
    <w:rsid w:val="00F31753"/>
    <w:rsid w:val="00F43596"/>
    <w:rsid w:val="00F45685"/>
    <w:rsid w:val="00F47F74"/>
    <w:rsid w:val="00F5305B"/>
    <w:rsid w:val="00F544B1"/>
    <w:rsid w:val="00F55709"/>
    <w:rsid w:val="00F576EB"/>
    <w:rsid w:val="00F61DC4"/>
    <w:rsid w:val="00F641B1"/>
    <w:rsid w:val="00F651FD"/>
    <w:rsid w:val="00F6529C"/>
    <w:rsid w:val="00F66813"/>
    <w:rsid w:val="00F71597"/>
    <w:rsid w:val="00F745C7"/>
    <w:rsid w:val="00F850C2"/>
    <w:rsid w:val="00FA272F"/>
    <w:rsid w:val="00FB0670"/>
    <w:rsid w:val="00FC1626"/>
    <w:rsid w:val="00FC2405"/>
    <w:rsid w:val="00FC2D57"/>
    <w:rsid w:val="00FC5DA5"/>
    <w:rsid w:val="00FD4C2A"/>
    <w:rsid w:val="00FE224F"/>
    <w:rsid w:val="00FE5AA1"/>
    <w:rsid w:val="00FE69CC"/>
    <w:rsid w:val="00FE7377"/>
    <w:rsid w:val="00FE78E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62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7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C85"/>
    <w:rPr>
      <w:sz w:val="20"/>
      <w:szCs w:val="20"/>
    </w:rPr>
  </w:style>
  <w:style w:type="character" w:styleId="FootnoteReference">
    <w:name w:val="footnote reference"/>
    <w:basedOn w:val="DefaultParagraphFont"/>
    <w:uiPriority w:val="99"/>
    <w:semiHidden/>
    <w:unhideWhenUsed/>
    <w:rsid w:val="00D27C85"/>
    <w:rPr>
      <w:vertAlign w:val="superscript"/>
    </w:rPr>
  </w:style>
  <w:style w:type="paragraph" w:styleId="ListParagraph">
    <w:name w:val="List Paragraph"/>
    <w:basedOn w:val="Normal"/>
    <w:uiPriority w:val="34"/>
    <w:qFormat/>
    <w:rsid w:val="00EA22F6"/>
    <w:pPr>
      <w:ind w:left="720"/>
      <w:contextualSpacing/>
    </w:pPr>
  </w:style>
  <w:style w:type="paragraph" w:styleId="BalloonText">
    <w:name w:val="Balloon Text"/>
    <w:basedOn w:val="Normal"/>
    <w:link w:val="BalloonTextChar"/>
    <w:uiPriority w:val="99"/>
    <w:semiHidden/>
    <w:unhideWhenUsed/>
    <w:rsid w:val="00093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D8"/>
    <w:rPr>
      <w:rFonts w:ascii="Tahoma" w:hAnsi="Tahoma" w:cs="Tahoma"/>
      <w:sz w:val="16"/>
      <w:szCs w:val="16"/>
    </w:rPr>
  </w:style>
  <w:style w:type="character" w:customStyle="1" w:styleId="Heading1Char">
    <w:name w:val="Heading 1 Char"/>
    <w:basedOn w:val="DefaultParagraphFont"/>
    <w:link w:val="Heading1"/>
    <w:uiPriority w:val="9"/>
    <w:rsid w:val="00542E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F429E"/>
    <w:rPr>
      <w:b/>
      <w:bCs/>
    </w:rPr>
  </w:style>
  <w:style w:type="paragraph" w:styleId="Header">
    <w:name w:val="header"/>
    <w:basedOn w:val="Normal"/>
    <w:link w:val="HeaderChar"/>
    <w:uiPriority w:val="99"/>
    <w:unhideWhenUsed/>
    <w:rsid w:val="006C0434"/>
    <w:pPr>
      <w:tabs>
        <w:tab w:val="center" w:pos="4819"/>
        <w:tab w:val="right" w:pos="9638"/>
      </w:tabs>
      <w:spacing w:after="0" w:line="240" w:lineRule="auto"/>
    </w:pPr>
  </w:style>
  <w:style w:type="character" w:customStyle="1" w:styleId="HeaderChar">
    <w:name w:val="Header Char"/>
    <w:basedOn w:val="DefaultParagraphFont"/>
    <w:link w:val="Header"/>
    <w:uiPriority w:val="99"/>
    <w:rsid w:val="006C0434"/>
  </w:style>
  <w:style w:type="paragraph" w:styleId="Footer">
    <w:name w:val="footer"/>
    <w:basedOn w:val="Normal"/>
    <w:link w:val="FooterChar"/>
    <w:uiPriority w:val="99"/>
    <w:unhideWhenUsed/>
    <w:rsid w:val="006C0434"/>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0434"/>
  </w:style>
  <w:style w:type="character" w:customStyle="1" w:styleId="Heading2Char">
    <w:name w:val="Heading 2 Char"/>
    <w:basedOn w:val="DefaultParagraphFont"/>
    <w:link w:val="Heading2"/>
    <w:uiPriority w:val="9"/>
    <w:rsid w:val="009D6242"/>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rsid w:val="00DC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DC72CC"/>
    <w:rPr>
      <w:rFonts w:ascii="Courier New" w:eastAsia="Times New Roman" w:hAnsi="Courier New" w:cs="Courier New"/>
      <w:sz w:val="20"/>
      <w:szCs w:val="20"/>
      <w:lang w:val="en-US"/>
    </w:rPr>
  </w:style>
  <w:style w:type="paragraph" w:styleId="BodyText">
    <w:name w:val="Body Text"/>
    <w:basedOn w:val="Normal"/>
    <w:link w:val="BodyTextChar"/>
    <w:rsid w:val="00226CCA"/>
    <w:pPr>
      <w:spacing w:after="0" w:line="480" w:lineRule="auto"/>
      <w:jc w:val="both"/>
    </w:pPr>
    <w:rPr>
      <w:rFonts w:ascii="Times New Roman TUR" w:eastAsia="Times New Roman" w:hAnsi="Times New Roman TUR" w:cs="Times New Roman"/>
      <w:sz w:val="24"/>
      <w:szCs w:val="24"/>
      <w:lang w:val="en-GB"/>
    </w:rPr>
  </w:style>
  <w:style w:type="character" w:customStyle="1" w:styleId="BodyTextChar">
    <w:name w:val="Body Text Char"/>
    <w:basedOn w:val="DefaultParagraphFont"/>
    <w:link w:val="BodyText"/>
    <w:rsid w:val="00226CCA"/>
    <w:rPr>
      <w:rFonts w:ascii="Times New Roman TUR" w:eastAsia="Times New Roman" w:hAnsi="Times New Roman TUR" w:cs="Times New Roman"/>
      <w:sz w:val="24"/>
      <w:szCs w:val="24"/>
      <w:lang w:val="en-GB"/>
    </w:rPr>
  </w:style>
  <w:style w:type="character" w:styleId="Hyperlink">
    <w:name w:val="Hyperlink"/>
    <w:basedOn w:val="DefaultParagraphFont"/>
    <w:uiPriority w:val="99"/>
    <w:unhideWhenUsed/>
    <w:rsid w:val="00C454EA"/>
    <w:rPr>
      <w:color w:val="0000FF" w:themeColor="hyperlink"/>
      <w:u w:val="single"/>
    </w:rPr>
  </w:style>
  <w:style w:type="character" w:styleId="LineNumber">
    <w:name w:val="line number"/>
    <w:basedOn w:val="DefaultParagraphFont"/>
    <w:uiPriority w:val="99"/>
    <w:semiHidden/>
    <w:unhideWhenUsed/>
    <w:rsid w:val="007B46DC"/>
  </w:style>
  <w:style w:type="paragraph" w:styleId="Bibliography">
    <w:name w:val="Bibliography"/>
    <w:basedOn w:val="Normal"/>
    <w:next w:val="Normal"/>
    <w:uiPriority w:val="37"/>
    <w:unhideWhenUsed/>
    <w:rsid w:val="00440D11"/>
  </w:style>
  <w:style w:type="paragraph" w:styleId="NormalWeb">
    <w:name w:val="Normal (Web)"/>
    <w:basedOn w:val="Normal"/>
    <w:uiPriority w:val="99"/>
    <w:semiHidden/>
    <w:unhideWhenUsed/>
    <w:rsid w:val="00B07D8C"/>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uiPriority w:val="1"/>
    <w:qFormat/>
    <w:rsid w:val="003356EF"/>
    <w:pPr>
      <w:spacing w:after="0" w:line="240" w:lineRule="auto"/>
    </w:pPr>
  </w:style>
  <w:style w:type="character" w:styleId="CommentReference">
    <w:name w:val="annotation reference"/>
    <w:basedOn w:val="DefaultParagraphFont"/>
    <w:uiPriority w:val="99"/>
    <w:semiHidden/>
    <w:unhideWhenUsed/>
    <w:rsid w:val="009C231C"/>
    <w:rPr>
      <w:sz w:val="16"/>
      <w:szCs w:val="16"/>
    </w:rPr>
  </w:style>
  <w:style w:type="paragraph" w:styleId="CommentText">
    <w:name w:val="annotation text"/>
    <w:basedOn w:val="Normal"/>
    <w:link w:val="CommentTextChar"/>
    <w:uiPriority w:val="99"/>
    <w:semiHidden/>
    <w:unhideWhenUsed/>
    <w:rsid w:val="009C231C"/>
    <w:pPr>
      <w:spacing w:line="240" w:lineRule="auto"/>
    </w:pPr>
    <w:rPr>
      <w:sz w:val="20"/>
      <w:szCs w:val="20"/>
    </w:rPr>
  </w:style>
  <w:style w:type="character" w:customStyle="1" w:styleId="CommentTextChar">
    <w:name w:val="Comment Text Char"/>
    <w:basedOn w:val="DefaultParagraphFont"/>
    <w:link w:val="CommentText"/>
    <w:uiPriority w:val="99"/>
    <w:semiHidden/>
    <w:rsid w:val="009C231C"/>
    <w:rPr>
      <w:sz w:val="20"/>
      <w:szCs w:val="20"/>
    </w:rPr>
  </w:style>
  <w:style w:type="paragraph" w:styleId="CommentSubject">
    <w:name w:val="annotation subject"/>
    <w:basedOn w:val="CommentText"/>
    <w:next w:val="CommentText"/>
    <w:link w:val="CommentSubjectChar"/>
    <w:uiPriority w:val="99"/>
    <w:semiHidden/>
    <w:unhideWhenUsed/>
    <w:rsid w:val="009C231C"/>
    <w:rPr>
      <w:b/>
      <w:bCs/>
    </w:rPr>
  </w:style>
  <w:style w:type="character" w:customStyle="1" w:styleId="CommentSubjectChar">
    <w:name w:val="Comment Subject Char"/>
    <w:basedOn w:val="CommentTextChar"/>
    <w:link w:val="CommentSubject"/>
    <w:uiPriority w:val="99"/>
    <w:semiHidden/>
    <w:rsid w:val="009C231C"/>
    <w:rPr>
      <w:b/>
      <w:bCs/>
      <w:sz w:val="20"/>
      <w:szCs w:val="20"/>
    </w:rPr>
  </w:style>
  <w:style w:type="character" w:styleId="FollowedHyperlink">
    <w:name w:val="FollowedHyperlink"/>
    <w:basedOn w:val="DefaultParagraphFont"/>
    <w:uiPriority w:val="99"/>
    <w:semiHidden/>
    <w:unhideWhenUsed/>
    <w:rsid w:val="006C34DD"/>
    <w:rPr>
      <w:color w:val="800080" w:themeColor="followedHyperlink"/>
      <w:u w:val="single"/>
    </w:rPr>
  </w:style>
  <w:style w:type="table" w:styleId="TableGrid">
    <w:name w:val="Table Grid"/>
    <w:basedOn w:val="TableNormal"/>
    <w:uiPriority w:val="59"/>
    <w:rsid w:val="004034BD"/>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5B44"/>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62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7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C85"/>
    <w:rPr>
      <w:sz w:val="20"/>
      <w:szCs w:val="20"/>
    </w:rPr>
  </w:style>
  <w:style w:type="character" w:styleId="FootnoteReference">
    <w:name w:val="footnote reference"/>
    <w:basedOn w:val="DefaultParagraphFont"/>
    <w:uiPriority w:val="99"/>
    <w:semiHidden/>
    <w:unhideWhenUsed/>
    <w:rsid w:val="00D27C85"/>
    <w:rPr>
      <w:vertAlign w:val="superscript"/>
    </w:rPr>
  </w:style>
  <w:style w:type="paragraph" w:styleId="ListParagraph">
    <w:name w:val="List Paragraph"/>
    <w:basedOn w:val="Normal"/>
    <w:uiPriority w:val="34"/>
    <w:qFormat/>
    <w:rsid w:val="00EA22F6"/>
    <w:pPr>
      <w:ind w:left="720"/>
      <w:contextualSpacing/>
    </w:pPr>
  </w:style>
  <w:style w:type="paragraph" w:styleId="BalloonText">
    <w:name w:val="Balloon Text"/>
    <w:basedOn w:val="Normal"/>
    <w:link w:val="BalloonTextChar"/>
    <w:uiPriority w:val="99"/>
    <w:semiHidden/>
    <w:unhideWhenUsed/>
    <w:rsid w:val="00093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D8"/>
    <w:rPr>
      <w:rFonts w:ascii="Tahoma" w:hAnsi="Tahoma" w:cs="Tahoma"/>
      <w:sz w:val="16"/>
      <w:szCs w:val="16"/>
    </w:rPr>
  </w:style>
  <w:style w:type="character" w:customStyle="1" w:styleId="Heading1Char">
    <w:name w:val="Heading 1 Char"/>
    <w:basedOn w:val="DefaultParagraphFont"/>
    <w:link w:val="Heading1"/>
    <w:uiPriority w:val="9"/>
    <w:rsid w:val="00542E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F429E"/>
    <w:rPr>
      <w:b/>
      <w:bCs/>
    </w:rPr>
  </w:style>
  <w:style w:type="paragraph" w:styleId="Header">
    <w:name w:val="header"/>
    <w:basedOn w:val="Normal"/>
    <w:link w:val="HeaderChar"/>
    <w:uiPriority w:val="99"/>
    <w:unhideWhenUsed/>
    <w:rsid w:val="006C0434"/>
    <w:pPr>
      <w:tabs>
        <w:tab w:val="center" w:pos="4819"/>
        <w:tab w:val="right" w:pos="9638"/>
      </w:tabs>
      <w:spacing w:after="0" w:line="240" w:lineRule="auto"/>
    </w:pPr>
  </w:style>
  <w:style w:type="character" w:customStyle="1" w:styleId="HeaderChar">
    <w:name w:val="Header Char"/>
    <w:basedOn w:val="DefaultParagraphFont"/>
    <w:link w:val="Header"/>
    <w:uiPriority w:val="99"/>
    <w:rsid w:val="006C0434"/>
  </w:style>
  <w:style w:type="paragraph" w:styleId="Footer">
    <w:name w:val="footer"/>
    <w:basedOn w:val="Normal"/>
    <w:link w:val="FooterChar"/>
    <w:uiPriority w:val="99"/>
    <w:unhideWhenUsed/>
    <w:rsid w:val="006C0434"/>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0434"/>
  </w:style>
  <w:style w:type="character" w:customStyle="1" w:styleId="Heading2Char">
    <w:name w:val="Heading 2 Char"/>
    <w:basedOn w:val="DefaultParagraphFont"/>
    <w:link w:val="Heading2"/>
    <w:uiPriority w:val="9"/>
    <w:rsid w:val="009D6242"/>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rsid w:val="00DC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DC72CC"/>
    <w:rPr>
      <w:rFonts w:ascii="Courier New" w:eastAsia="Times New Roman" w:hAnsi="Courier New" w:cs="Courier New"/>
      <w:sz w:val="20"/>
      <w:szCs w:val="20"/>
      <w:lang w:val="en-US"/>
    </w:rPr>
  </w:style>
  <w:style w:type="paragraph" w:styleId="BodyText">
    <w:name w:val="Body Text"/>
    <w:basedOn w:val="Normal"/>
    <w:link w:val="BodyTextChar"/>
    <w:rsid w:val="00226CCA"/>
    <w:pPr>
      <w:spacing w:after="0" w:line="480" w:lineRule="auto"/>
      <w:jc w:val="both"/>
    </w:pPr>
    <w:rPr>
      <w:rFonts w:ascii="Times New Roman TUR" w:eastAsia="Times New Roman" w:hAnsi="Times New Roman TUR" w:cs="Times New Roman"/>
      <w:sz w:val="24"/>
      <w:szCs w:val="24"/>
      <w:lang w:val="en-GB"/>
    </w:rPr>
  </w:style>
  <w:style w:type="character" w:customStyle="1" w:styleId="BodyTextChar">
    <w:name w:val="Body Text Char"/>
    <w:basedOn w:val="DefaultParagraphFont"/>
    <w:link w:val="BodyText"/>
    <w:rsid w:val="00226CCA"/>
    <w:rPr>
      <w:rFonts w:ascii="Times New Roman TUR" w:eastAsia="Times New Roman" w:hAnsi="Times New Roman TUR" w:cs="Times New Roman"/>
      <w:sz w:val="24"/>
      <w:szCs w:val="24"/>
      <w:lang w:val="en-GB"/>
    </w:rPr>
  </w:style>
  <w:style w:type="character" w:styleId="Hyperlink">
    <w:name w:val="Hyperlink"/>
    <w:basedOn w:val="DefaultParagraphFont"/>
    <w:uiPriority w:val="99"/>
    <w:unhideWhenUsed/>
    <w:rsid w:val="00C454EA"/>
    <w:rPr>
      <w:color w:val="0000FF" w:themeColor="hyperlink"/>
      <w:u w:val="single"/>
    </w:rPr>
  </w:style>
  <w:style w:type="character" w:styleId="LineNumber">
    <w:name w:val="line number"/>
    <w:basedOn w:val="DefaultParagraphFont"/>
    <w:uiPriority w:val="99"/>
    <w:semiHidden/>
    <w:unhideWhenUsed/>
    <w:rsid w:val="007B46DC"/>
  </w:style>
  <w:style w:type="paragraph" w:styleId="Bibliography">
    <w:name w:val="Bibliography"/>
    <w:basedOn w:val="Normal"/>
    <w:next w:val="Normal"/>
    <w:uiPriority w:val="37"/>
    <w:unhideWhenUsed/>
    <w:rsid w:val="00440D11"/>
  </w:style>
  <w:style w:type="paragraph" w:styleId="NormalWeb">
    <w:name w:val="Normal (Web)"/>
    <w:basedOn w:val="Normal"/>
    <w:uiPriority w:val="99"/>
    <w:semiHidden/>
    <w:unhideWhenUsed/>
    <w:rsid w:val="00B07D8C"/>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uiPriority w:val="1"/>
    <w:qFormat/>
    <w:rsid w:val="003356EF"/>
    <w:pPr>
      <w:spacing w:after="0" w:line="240" w:lineRule="auto"/>
    </w:pPr>
  </w:style>
  <w:style w:type="character" w:styleId="CommentReference">
    <w:name w:val="annotation reference"/>
    <w:basedOn w:val="DefaultParagraphFont"/>
    <w:uiPriority w:val="99"/>
    <w:semiHidden/>
    <w:unhideWhenUsed/>
    <w:rsid w:val="009C231C"/>
    <w:rPr>
      <w:sz w:val="16"/>
      <w:szCs w:val="16"/>
    </w:rPr>
  </w:style>
  <w:style w:type="paragraph" w:styleId="CommentText">
    <w:name w:val="annotation text"/>
    <w:basedOn w:val="Normal"/>
    <w:link w:val="CommentTextChar"/>
    <w:uiPriority w:val="99"/>
    <w:semiHidden/>
    <w:unhideWhenUsed/>
    <w:rsid w:val="009C231C"/>
    <w:pPr>
      <w:spacing w:line="240" w:lineRule="auto"/>
    </w:pPr>
    <w:rPr>
      <w:sz w:val="20"/>
      <w:szCs w:val="20"/>
    </w:rPr>
  </w:style>
  <w:style w:type="character" w:customStyle="1" w:styleId="CommentTextChar">
    <w:name w:val="Comment Text Char"/>
    <w:basedOn w:val="DefaultParagraphFont"/>
    <w:link w:val="CommentText"/>
    <w:uiPriority w:val="99"/>
    <w:semiHidden/>
    <w:rsid w:val="009C231C"/>
    <w:rPr>
      <w:sz w:val="20"/>
      <w:szCs w:val="20"/>
    </w:rPr>
  </w:style>
  <w:style w:type="paragraph" w:styleId="CommentSubject">
    <w:name w:val="annotation subject"/>
    <w:basedOn w:val="CommentText"/>
    <w:next w:val="CommentText"/>
    <w:link w:val="CommentSubjectChar"/>
    <w:uiPriority w:val="99"/>
    <w:semiHidden/>
    <w:unhideWhenUsed/>
    <w:rsid w:val="009C231C"/>
    <w:rPr>
      <w:b/>
      <w:bCs/>
    </w:rPr>
  </w:style>
  <w:style w:type="character" w:customStyle="1" w:styleId="CommentSubjectChar">
    <w:name w:val="Comment Subject Char"/>
    <w:basedOn w:val="CommentTextChar"/>
    <w:link w:val="CommentSubject"/>
    <w:uiPriority w:val="99"/>
    <w:semiHidden/>
    <w:rsid w:val="009C231C"/>
    <w:rPr>
      <w:b/>
      <w:bCs/>
      <w:sz w:val="20"/>
      <w:szCs w:val="20"/>
    </w:rPr>
  </w:style>
  <w:style w:type="character" w:styleId="FollowedHyperlink">
    <w:name w:val="FollowedHyperlink"/>
    <w:basedOn w:val="DefaultParagraphFont"/>
    <w:uiPriority w:val="99"/>
    <w:semiHidden/>
    <w:unhideWhenUsed/>
    <w:rsid w:val="006C34DD"/>
    <w:rPr>
      <w:color w:val="800080" w:themeColor="followedHyperlink"/>
      <w:u w:val="single"/>
    </w:rPr>
  </w:style>
  <w:style w:type="table" w:styleId="TableGrid">
    <w:name w:val="Table Grid"/>
    <w:basedOn w:val="TableNormal"/>
    <w:uiPriority w:val="59"/>
    <w:rsid w:val="004034BD"/>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5B44"/>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0986">
      <w:bodyDiv w:val="1"/>
      <w:marLeft w:val="0"/>
      <w:marRight w:val="0"/>
      <w:marTop w:val="0"/>
      <w:marBottom w:val="0"/>
      <w:divBdr>
        <w:top w:val="none" w:sz="0" w:space="0" w:color="auto"/>
        <w:left w:val="none" w:sz="0" w:space="0" w:color="auto"/>
        <w:bottom w:val="none" w:sz="0" w:space="0" w:color="auto"/>
        <w:right w:val="none" w:sz="0" w:space="0" w:color="auto"/>
      </w:divBdr>
    </w:div>
    <w:div w:id="376854800">
      <w:bodyDiv w:val="1"/>
      <w:marLeft w:val="0"/>
      <w:marRight w:val="0"/>
      <w:marTop w:val="0"/>
      <w:marBottom w:val="0"/>
      <w:divBdr>
        <w:top w:val="none" w:sz="0" w:space="0" w:color="auto"/>
        <w:left w:val="none" w:sz="0" w:space="0" w:color="auto"/>
        <w:bottom w:val="none" w:sz="0" w:space="0" w:color="auto"/>
        <w:right w:val="none" w:sz="0" w:space="0" w:color="auto"/>
      </w:divBdr>
    </w:div>
    <w:div w:id="573508734">
      <w:bodyDiv w:val="1"/>
      <w:marLeft w:val="0"/>
      <w:marRight w:val="0"/>
      <w:marTop w:val="0"/>
      <w:marBottom w:val="0"/>
      <w:divBdr>
        <w:top w:val="none" w:sz="0" w:space="0" w:color="auto"/>
        <w:left w:val="none" w:sz="0" w:space="0" w:color="auto"/>
        <w:bottom w:val="none" w:sz="0" w:space="0" w:color="auto"/>
        <w:right w:val="none" w:sz="0" w:space="0" w:color="auto"/>
      </w:divBdr>
    </w:div>
    <w:div w:id="658533010">
      <w:bodyDiv w:val="1"/>
      <w:marLeft w:val="0"/>
      <w:marRight w:val="0"/>
      <w:marTop w:val="0"/>
      <w:marBottom w:val="0"/>
      <w:divBdr>
        <w:top w:val="none" w:sz="0" w:space="0" w:color="auto"/>
        <w:left w:val="none" w:sz="0" w:space="0" w:color="auto"/>
        <w:bottom w:val="none" w:sz="0" w:space="0" w:color="auto"/>
        <w:right w:val="none" w:sz="0" w:space="0" w:color="auto"/>
      </w:divBdr>
    </w:div>
    <w:div w:id="822551278">
      <w:bodyDiv w:val="1"/>
      <w:marLeft w:val="0"/>
      <w:marRight w:val="0"/>
      <w:marTop w:val="0"/>
      <w:marBottom w:val="0"/>
      <w:divBdr>
        <w:top w:val="none" w:sz="0" w:space="0" w:color="auto"/>
        <w:left w:val="none" w:sz="0" w:space="0" w:color="auto"/>
        <w:bottom w:val="none" w:sz="0" w:space="0" w:color="auto"/>
        <w:right w:val="none" w:sz="0" w:space="0" w:color="auto"/>
      </w:divBdr>
    </w:div>
    <w:div w:id="832525927">
      <w:bodyDiv w:val="1"/>
      <w:marLeft w:val="0"/>
      <w:marRight w:val="0"/>
      <w:marTop w:val="0"/>
      <w:marBottom w:val="0"/>
      <w:divBdr>
        <w:top w:val="none" w:sz="0" w:space="0" w:color="auto"/>
        <w:left w:val="none" w:sz="0" w:space="0" w:color="auto"/>
        <w:bottom w:val="none" w:sz="0" w:space="0" w:color="auto"/>
        <w:right w:val="none" w:sz="0" w:space="0" w:color="auto"/>
      </w:divBdr>
    </w:div>
    <w:div w:id="87708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ifp.dk/wp-content/uploads/2011/11/What-Do-We-Know-about-Industrial-Foundations.pdf"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po.int\Dropbox\foundationdata\thomas_stuff\Kaplan-Meier%20Pl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46522309711299"/>
          <c:y val="5.0925925925925902E-2"/>
          <c:w val="0.80656430446194205"/>
          <c:h val="0.63898512685914299"/>
        </c:manualLayout>
      </c:layout>
      <c:lineChart>
        <c:grouping val="standard"/>
        <c:varyColors val="0"/>
        <c:ser>
          <c:idx val="0"/>
          <c:order val="0"/>
          <c:tx>
            <c:strRef>
              <c:f>'#LN00063'!$K$6</c:f>
              <c:strCache>
                <c:ptCount val="1"/>
                <c:pt idx="0">
                  <c:v>Foundation-owned</c:v>
                </c:pt>
              </c:strCache>
            </c:strRef>
          </c:tx>
          <c:spPr>
            <a:effectLst/>
          </c:spPr>
          <c:marker>
            <c:symbol val="none"/>
          </c:marker>
          <c:cat>
            <c:numRef>
              <c:f>'#LN00063'!$J$7:$J$207</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cat>
          <c:val>
            <c:numRef>
              <c:f>'#LN00063'!$K$7:$K$207</c:f>
              <c:numCache>
                <c:formatCode>General</c:formatCode>
                <c:ptCount val="201"/>
                <c:pt idx="0">
                  <c:v>1</c:v>
                </c:pt>
                <c:pt idx="1">
                  <c:v>0.94443999999999995</c:v>
                </c:pt>
                <c:pt idx="2">
                  <c:v>#N/A</c:v>
                </c:pt>
                <c:pt idx="3">
                  <c:v>#N/A</c:v>
                </c:pt>
                <c:pt idx="4">
                  <c:v>#N/A</c:v>
                </c:pt>
                <c:pt idx="5">
                  <c:v>#N/A</c:v>
                </c:pt>
                <c:pt idx="6">
                  <c:v>#N/A</c:v>
                </c:pt>
                <c:pt idx="7">
                  <c:v>0.88888999999999996</c:v>
                </c:pt>
                <c:pt idx="8">
                  <c:v>#N/A</c:v>
                </c:pt>
                <c:pt idx="9">
                  <c:v>#N/A</c:v>
                </c:pt>
                <c:pt idx="10">
                  <c:v>#N/A</c:v>
                </c:pt>
                <c:pt idx="11">
                  <c:v>#N/A</c:v>
                </c:pt>
                <c:pt idx="12">
                  <c:v>#N/A</c:v>
                </c:pt>
                <c:pt idx="13">
                  <c:v>#N/A</c:v>
                </c:pt>
                <c:pt idx="14">
                  <c:v>#N/A</c:v>
                </c:pt>
                <c:pt idx="15">
                  <c:v>#N/A</c:v>
                </c:pt>
                <c:pt idx="16">
                  <c:v>#N/A</c:v>
                </c:pt>
                <c:pt idx="17">
                  <c:v>#N/A</c:v>
                </c:pt>
                <c:pt idx="18">
                  <c:v>0.83333000000000002</c:v>
                </c:pt>
                <c:pt idx="19">
                  <c:v>#N/A</c:v>
                </c:pt>
                <c:pt idx="20">
                  <c:v>#N/A</c:v>
                </c:pt>
                <c:pt idx="21">
                  <c:v>#N/A</c:v>
                </c:pt>
                <c:pt idx="22">
                  <c:v>#N/A</c:v>
                </c:pt>
                <c:pt idx="23">
                  <c:v>#N/A</c:v>
                </c:pt>
                <c:pt idx="24">
                  <c:v>#N/A</c:v>
                </c:pt>
                <c:pt idx="25">
                  <c:v>#N/A</c:v>
                </c:pt>
                <c:pt idx="26">
                  <c:v>#N/A</c:v>
                </c:pt>
                <c:pt idx="27">
                  <c:v>#N/A</c:v>
                </c:pt>
                <c:pt idx="28">
                  <c:v>#N/A</c:v>
                </c:pt>
                <c:pt idx="29">
                  <c:v>#N/A</c:v>
                </c:pt>
                <c:pt idx="30">
                  <c:v>#N/A</c:v>
                </c:pt>
                <c:pt idx="31">
                  <c:v>0.77778000000000003</c:v>
                </c:pt>
                <c:pt idx="32">
                  <c:v>#N/A</c:v>
                </c:pt>
                <c:pt idx="33">
                  <c:v>#N/A</c:v>
                </c:pt>
                <c:pt idx="34">
                  <c:v>0.72221999999999997</c:v>
                </c:pt>
                <c:pt idx="35">
                  <c:v>#N/A</c:v>
                </c:pt>
                <c:pt idx="36">
                  <c:v>0.66666999999999998</c:v>
                </c:pt>
                <c:pt idx="37">
                  <c:v>#N/A</c:v>
                </c:pt>
                <c:pt idx="38">
                  <c:v>#N/A</c:v>
                </c:pt>
                <c:pt idx="39">
                  <c:v>#N/A</c:v>
                </c:pt>
                <c:pt idx="40">
                  <c:v>#N/A</c:v>
                </c:pt>
                <c:pt idx="41">
                  <c:v>#N/A</c:v>
                </c:pt>
                <c:pt idx="42">
                  <c:v>0.61111000000000004</c:v>
                </c:pt>
                <c:pt idx="43">
                  <c:v>#N/A</c:v>
                </c:pt>
                <c:pt idx="44">
                  <c:v>#N/A</c:v>
                </c:pt>
                <c:pt idx="45">
                  <c:v>#N/A</c:v>
                </c:pt>
                <c:pt idx="46">
                  <c:v>#N/A</c:v>
                </c:pt>
                <c:pt idx="47">
                  <c:v>#N/A</c:v>
                </c:pt>
                <c:pt idx="48">
                  <c:v>#N/A</c:v>
                </c:pt>
                <c:pt idx="49">
                  <c:v>#N/A</c:v>
                </c:pt>
                <c:pt idx="50">
                  <c:v>#N/A</c:v>
                </c:pt>
                <c:pt idx="51">
                  <c:v>#N/A</c:v>
                </c:pt>
                <c:pt idx="52">
                  <c:v>0.55556000000000005</c:v>
                </c:pt>
                <c:pt idx="53">
                  <c:v>#N/A</c:v>
                </c:pt>
                <c:pt idx="54">
                  <c:v>#N/A</c:v>
                </c:pt>
                <c:pt idx="55">
                  <c:v>#N/A</c:v>
                </c:pt>
                <c:pt idx="56">
                  <c:v>#N/A</c:v>
                </c:pt>
                <c:pt idx="57">
                  <c:v>#N/A</c:v>
                </c:pt>
                <c:pt idx="58">
                  <c:v>#N/A</c:v>
                </c:pt>
                <c:pt idx="59">
                  <c:v>#N/A</c:v>
                </c:pt>
                <c:pt idx="60">
                  <c:v>#N/A</c:v>
                </c:pt>
                <c:pt idx="61">
                  <c:v>#N/A</c:v>
                </c:pt>
                <c:pt idx="62">
                  <c:v>#N/A</c:v>
                </c:pt>
                <c:pt idx="63">
                  <c:v>0.5</c:v>
                </c:pt>
                <c:pt idx="64">
                  <c:v>#N/A</c:v>
                </c:pt>
                <c:pt idx="65">
                  <c:v>#N/A</c:v>
                </c:pt>
                <c:pt idx="66">
                  <c:v>#N/A</c:v>
                </c:pt>
                <c:pt idx="67">
                  <c:v>#N/A</c:v>
                </c:pt>
                <c:pt idx="68">
                  <c:v>#N/A</c:v>
                </c:pt>
                <c:pt idx="69">
                  <c:v>0.44444</c:v>
                </c:pt>
                <c:pt idx="70">
                  <c:v>#N/A</c:v>
                </c:pt>
                <c:pt idx="71">
                  <c:v>#N/A</c:v>
                </c:pt>
                <c:pt idx="72">
                  <c:v>#N/A</c:v>
                </c:pt>
                <c:pt idx="73">
                  <c:v>#N/A</c:v>
                </c:pt>
                <c:pt idx="74">
                  <c:v>#N/A</c:v>
                </c:pt>
                <c:pt idx="75">
                  <c:v>#N/A</c:v>
                </c:pt>
                <c:pt idx="76">
                  <c:v>#N/A</c:v>
                </c:pt>
                <c:pt idx="77">
                  <c:v>#N/A</c:v>
                </c:pt>
                <c:pt idx="78">
                  <c:v>#N/A</c:v>
                </c:pt>
                <c:pt idx="79">
                  <c:v>#N/A</c:v>
                </c:pt>
                <c:pt idx="80">
                  <c:v>#N/A</c:v>
                </c:pt>
                <c:pt idx="81">
                  <c:v>0.38889000000000001</c:v>
                </c:pt>
                <c:pt idx="82">
                  <c:v>0.33333000000000002</c:v>
                </c:pt>
                <c:pt idx="83">
                  <c:v>#N/A</c:v>
                </c:pt>
                <c:pt idx="84">
                  <c:v>#N/A</c:v>
                </c:pt>
                <c:pt idx="85">
                  <c:v>#N/A</c:v>
                </c:pt>
                <c:pt idx="86">
                  <c:v>#N/A</c:v>
                </c:pt>
                <c:pt idx="87">
                  <c:v>#N/A</c:v>
                </c:pt>
                <c:pt idx="88">
                  <c:v>#N/A</c:v>
                </c:pt>
                <c:pt idx="89">
                  <c:v>0.27778000000000003</c:v>
                </c:pt>
                <c:pt idx="90">
                  <c:v>#N/A</c:v>
                </c:pt>
                <c:pt idx="91">
                  <c:v>#N/A</c:v>
                </c:pt>
                <c:pt idx="92">
                  <c:v>#N/A</c:v>
                </c:pt>
                <c:pt idx="93">
                  <c:v>#N/A</c:v>
                </c:pt>
                <c:pt idx="94">
                  <c:v>#N/A</c:v>
                </c:pt>
                <c:pt idx="95">
                  <c:v>0.22222</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0.16667000000000001</c:v>
                </c:pt>
                <c:pt idx="111">
                  <c:v>#N/A</c:v>
                </c:pt>
                <c:pt idx="112">
                  <c:v>#N/A</c:v>
                </c:pt>
                <c:pt idx="113">
                  <c:v>#N/A</c:v>
                </c:pt>
                <c:pt idx="114">
                  <c:v>0.11111</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5.5559999999999998E-2</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0</c:v>
                </c:pt>
              </c:numCache>
            </c:numRef>
          </c:val>
          <c:smooth val="1"/>
        </c:ser>
        <c:ser>
          <c:idx val="1"/>
          <c:order val="1"/>
          <c:tx>
            <c:strRef>
              <c:f>'#LN00063'!$L$6</c:f>
              <c:strCache>
                <c:ptCount val="1"/>
                <c:pt idx="0">
                  <c:v>Other owners</c:v>
                </c:pt>
              </c:strCache>
            </c:strRef>
          </c:tx>
          <c:marker>
            <c:symbol val="none"/>
          </c:marker>
          <c:cat>
            <c:numRef>
              <c:f>'#LN00063'!$J$7:$J$207</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cat>
          <c:val>
            <c:numRef>
              <c:f>'#LN00063'!$L$7:$L$207</c:f>
              <c:numCache>
                <c:formatCode>General</c:formatCode>
                <c:ptCount val="201"/>
                <c:pt idx="0">
                  <c:v>1</c:v>
                </c:pt>
                <c:pt idx="1">
                  <c:v>0.95662000000000003</c:v>
                </c:pt>
                <c:pt idx="2">
                  <c:v>0.92693999999999999</c:v>
                </c:pt>
                <c:pt idx="3">
                  <c:v>0.89498</c:v>
                </c:pt>
                <c:pt idx="4">
                  <c:v>0.85160000000000002</c:v>
                </c:pt>
                <c:pt idx="5">
                  <c:v>0.79224000000000006</c:v>
                </c:pt>
                <c:pt idx="6">
                  <c:v>0.75341999999999998</c:v>
                </c:pt>
                <c:pt idx="7">
                  <c:v>0.72831000000000001</c:v>
                </c:pt>
                <c:pt idx="8">
                  <c:v>0.70548</c:v>
                </c:pt>
                <c:pt idx="9">
                  <c:v>0.68264999999999998</c:v>
                </c:pt>
                <c:pt idx="10">
                  <c:v>0.64383999999999997</c:v>
                </c:pt>
                <c:pt idx="11">
                  <c:v>0.60958999999999997</c:v>
                </c:pt>
                <c:pt idx="12">
                  <c:v>0.58447000000000005</c:v>
                </c:pt>
                <c:pt idx="13">
                  <c:v>0.54795000000000005</c:v>
                </c:pt>
                <c:pt idx="14">
                  <c:v>0.53425</c:v>
                </c:pt>
                <c:pt idx="15">
                  <c:v>0.51370000000000005</c:v>
                </c:pt>
                <c:pt idx="16">
                  <c:v>0.49086999999999997</c:v>
                </c:pt>
                <c:pt idx="17">
                  <c:v>0.45889999999999997</c:v>
                </c:pt>
                <c:pt idx="18">
                  <c:v>0.43836000000000003</c:v>
                </c:pt>
                <c:pt idx="19">
                  <c:v>0.41324</c:v>
                </c:pt>
                <c:pt idx="20">
                  <c:v>0.39726</c:v>
                </c:pt>
                <c:pt idx="21">
                  <c:v>0.37442999999999999</c:v>
                </c:pt>
                <c:pt idx="22">
                  <c:v>0.35615999999999998</c:v>
                </c:pt>
                <c:pt idx="23">
                  <c:v>0.33333000000000002</c:v>
                </c:pt>
                <c:pt idx="24">
                  <c:v>0.32191999999999998</c:v>
                </c:pt>
                <c:pt idx="25">
                  <c:v>0.30593999999999999</c:v>
                </c:pt>
                <c:pt idx="26">
                  <c:v>0.28994999999999999</c:v>
                </c:pt>
                <c:pt idx="27">
                  <c:v>0.27626000000000001</c:v>
                </c:pt>
                <c:pt idx="28">
                  <c:v>0.26484000000000002</c:v>
                </c:pt>
                <c:pt idx="29">
                  <c:v>0.24886</c:v>
                </c:pt>
                <c:pt idx="30">
                  <c:v>0.23288</c:v>
                </c:pt>
                <c:pt idx="31">
                  <c:v>0.22373999999999999</c:v>
                </c:pt>
                <c:pt idx="32">
                  <c:v>0.20319999999999999</c:v>
                </c:pt>
                <c:pt idx="33">
                  <c:v>0.19863</c:v>
                </c:pt>
                <c:pt idx="34">
                  <c:v>0.17352000000000001</c:v>
                </c:pt>
                <c:pt idx="35">
                  <c:v>0.16209999999999999</c:v>
                </c:pt>
                <c:pt idx="36">
                  <c:v>0.15525</c:v>
                </c:pt>
                <c:pt idx="37">
                  <c:v>0.15296999999999999</c:v>
                </c:pt>
                <c:pt idx="38">
                  <c:v>0.13469999999999999</c:v>
                </c:pt>
                <c:pt idx="39">
                  <c:v>0.121</c:v>
                </c:pt>
                <c:pt idx="40">
                  <c:v>0.11416</c:v>
                </c:pt>
                <c:pt idx="41">
                  <c:v>9.8169999999999993E-2</c:v>
                </c:pt>
                <c:pt idx="42">
                  <c:v>9.5890000000000003E-2</c:v>
                </c:pt>
                <c:pt idx="43">
                  <c:v>9.3609999999999999E-2</c:v>
                </c:pt>
                <c:pt idx="44">
                  <c:v>8.6760000000000004E-2</c:v>
                </c:pt>
                <c:pt idx="45">
                  <c:v>#N/A</c:v>
                </c:pt>
                <c:pt idx="46">
                  <c:v>#N/A</c:v>
                </c:pt>
                <c:pt idx="47">
                  <c:v>7.9909999999999995E-2</c:v>
                </c:pt>
                <c:pt idx="48">
                  <c:v>7.7630000000000005E-2</c:v>
                </c:pt>
                <c:pt idx="49">
                  <c:v>7.5340000000000004E-2</c:v>
                </c:pt>
                <c:pt idx="50">
                  <c:v>7.306E-2</c:v>
                </c:pt>
                <c:pt idx="51">
                  <c:v>7.0779999999999996E-2</c:v>
                </c:pt>
                <c:pt idx="52">
                  <c:v>6.8489999999999995E-2</c:v>
                </c:pt>
                <c:pt idx="53">
                  <c:v>#N/A</c:v>
                </c:pt>
                <c:pt idx="54">
                  <c:v>6.6210000000000005E-2</c:v>
                </c:pt>
                <c:pt idx="55">
                  <c:v>#N/A</c:v>
                </c:pt>
                <c:pt idx="56">
                  <c:v>#N/A</c:v>
                </c:pt>
                <c:pt idx="57">
                  <c:v>#N/A</c:v>
                </c:pt>
                <c:pt idx="58">
                  <c:v>5.9360000000000003E-2</c:v>
                </c:pt>
                <c:pt idx="59">
                  <c:v>5.7079999999999999E-2</c:v>
                </c:pt>
                <c:pt idx="60">
                  <c:v>#N/A</c:v>
                </c:pt>
                <c:pt idx="61">
                  <c:v>#N/A</c:v>
                </c:pt>
                <c:pt idx="62">
                  <c:v>#N/A</c:v>
                </c:pt>
                <c:pt idx="63">
                  <c:v>5.4789999999999998E-2</c:v>
                </c:pt>
                <c:pt idx="64">
                  <c:v>#N/A</c:v>
                </c:pt>
                <c:pt idx="65">
                  <c:v>#N/A</c:v>
                </c:pt>
                <c:pt idx="66">
                  <c:v>5.2510000000000001E-2</c:v>
                </c:pt>
                <c:pt idx="67">
                  <c:v>#N/A</c:v>
                </c:pt>
                <c:pt idx="68">
                  <c:v>#N/A</c:v>
                </c:pt>
                <c:pt idx="69">
                  <c:v>#N/A</c:v>
                </c:pt>
                <c:pt idx="70">
                  <c:v>#N/A</c:v>
                </c:pt>
                <c:pt idx="71">
                  <c:v>5.0229999999999997E-2</c:v>
                </c:pt>
                <c:pt idx="72">
                  <c:v>4.795E-2</c:v>
                </c:pt>
                <c:pt idx="73">
                  <c:v>#N/A</c:v>
                </c:pt>
                <c:pt idx="74">
                  <c:v>#N/A</c:v>
                </c:pt>
                <c:pt idx="75">
                  <c:v>4.3380000000000002E-2</c:v>
                </c:pt>
                <c:pt idx="76">
                  <c:v>4.1099999999999998E-2</c:v>
                </c:pt>
                <c:pt idx="77">
                  <c:v>3.8809999999999997E-2</c:v>
                </c:pt>
                <c:pt idx="78">
                  <c:v>3.653E-2</c:v>
                </c:pt>
                <c:pt idx="79">
                  <c:v>3.1960000000000002E-2</c:v>
                </c:pt>
                <c:pt idx="80">
                  <c:v>2.9680000000000002E-2</c:v>
                </c:pt>
                <c:pt idx="81">
                  <c:v>#N/A</c:v>
                </c:pt>
                <c:pt idx="82">
                  <c:v>#N/A</c:v>
                </c:pt>
                <c:pt idx="83">
                  <c:v>#N/A</c:v>
                </c:pt>
                <c:pt idx="84">
                  <c:v>#N/A</c:v>
                </c:pt>
                <c:pt idx="85">
                  <c:v>2.7400000000000001E-2</c:v>
                </c:pt>
                <c:pt idx="86">
                  <c:v>#N/A</c:v>
                </c:pt>
                <c:pt idx="87">
                  <c:v>#N/A</c:v>
                </c:pt>
                <c:pt idx="88">
                  <c:v>#N/A</c:v>
                </c:pt>
                <c:pt idx="89">
                  <c:v>2.511E-2</c:v>
                </c:pt>
                <c:pt idx="90">
                  <c:v>#N/A</c:v>
                </c:pt>
                <c:pt idx="91">
                  <c:v>2.283E-2</c:v>
                </c:pt>
                <c:pt idx="92">
                  <c:v>#N/A</c:v>
                </c:pt>
                <c:pt idx="93">
                  <c:v>#N/A</c:v>
                </c:pt>
                <c:pt idx="94">
                  <c:v>#N/A</c:v>
                </c:pt>
                <c:pt idx="95">
                  <c:v>#N/A</c:v>
                </c:pt>
                <c:pt idx="96">
                  <c:v>#N/A</c:v>
                </c:pt>
                <c:pt idx="97">
                  <c:v>#N/A</c:v>
                </c:pt>
                <c:pt idx="98">
                  <c:v>2.0549999999999999E-2</c:v>
                </c:pt>
                <c:pt idx="99">
                  <c:v>#N/A</c:v>
                </c:pt>
                <c:pt idx="100">
                  <c:v>#N/A</c:v>
                </c:pt>
                <c:pt idx="101">
                  <c:v>#N/A</c:v>
                </c:pt>
                <c:pt idx="102">
                  <c:v>#N/A</c:v>
                </c:pt>
                <c:pt idx="103">
                  <c:v>#N/A</c:v>
                </c:pt>
                <c:pt idx="104">
                  <c:v>#N/A</c:v>
                </c:pt>
                <c:pt idx="105">
                  <c:v>#N/A</c:v>
                </c:pt>
                <c:pt idx="106">
                  <c:v>#N/A</c:v>
                </c:pt>
                <c:pt idx="107">
                  <c:v>#N/A</c:v>
                </c:pt>
                <c:pt idx="108">
                  <c:v>1.8259999999999998E-2</c:v>
                </c:pt>
                <c:pt idx="109">
                  <c:v>#N/A</c:v>
                </c:pt>
                <c:pt idx="110">
                  <c:v>#N/A</c:v>
                </c:pt>
                <c:pt idx="111">
                  <c:v>#N/A</c:v>
                </c:pt>
                <c:pt idx="112">
                  <c:v>#N/A</c:v>
                </c:pt>
                <c:pt idx="113">
                  <c:v>1.5980000000000001E-2</c:v>
                </c:pt>
                <c:pt idx="114">
                  <c:v>#N/A</c:v>
                </c:pt>
                <c:pt idx="115">
                  <c:v>#N/A</c:v>
                </c:pt>
                <c:pt idx="116">
                  <c:v>#N/A</c:v>
                </c:pt>
                <c:pt idx="117">
                  <c:v>#N/A</c:v>
                </c:pt>
                <c:pt idx="118">
                  <c:v>1.37E-2</c:v>
                </c:pt>
                <c:pt idx="119">
                  <c:v>#N/A</c:v>
                </c:pt>
                <c:pt idx="120">
                  <c:v>#N/A</c:v>
                </c:pt>
                <c:pt idx="121">
                  <c:v>#N/A</c:v>
                </c:pt>
                <c:pt idx="122">
                  <c:v>#N/A</c:v>
                </c:pt>
                <c:pt idx="123">
                  <c:v>#N/A</c:v>
                </c:pt>
                <c:pt idx="124">
                  <c:v>#N/A</c:v>
                </c:pt>
                <c:pt idx="125">
                  <c:v>#N/A</c:v>
                </c:pt>
                <c:pt idx="126">
                  <c:v>#N/A</c:v>
                </c:pt>
                <c:pt idx="127">
                  <c:v>#N/A</c:v>
                </c:pt>
                <c:pt idx="128">
                  <c:v>1.142E-2</c:v>
                </c:pt>
                <c:pt idx="129">
                  <c:v>#N/A</c:v>
                </c:pt>
                <c:pt idx="130">
                  <c:v>#N/A</c:v>
                </c:pt>
                <c:pt idx="131">
                  <c:v>#N/A</c:v>
                </c:pt>
                <c:pt idx="132">
                  <c:v>#N/A</c:v>
                </c:pt>
                <c:pt idx="133">
                  <c:v>#N/A</c:v>
                </c:pt>
                <c:pt idx="134">
                  <c:v>#N/A</c:v>
                </c:pt>
                <c:pt idx="135">
                  <c:v>#N/A</c:v>
                </c:pt>
                <c:pt idx="136">
                  <c:v>9.1299999999999992E-3</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6.8500000000000002E-3</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0</c:v>
                </c:pt>
              </c:numCache>
            </c:numRef>
          </c:val>
          <c:smooth val="1"/>
        </c:ser>
        <c:ser>
          <c:idx val="4"/>
          <c:order val="2"/>
          <c:tx>
            <c:strRef>
              <c:f>'#LN00063'!$M$6</c:f>
              <c:strCache>
                <c:ptCount val="1"/>
                <c:pt idx="0">
                  <c:v>Foundation-owned (&gt;= 100 employees)</c:v>
                </c:pt>
              </c:strCache>
            </c:strRef>
          </c:tx>
          <c:marker>
            <c:symbol val="none"/>
          </c:marker>
          <c:dPt>
            <c:idx val="34"/>
            <c:bubble3D val="0"/>
            <c:spPr>
              <a:ln w="25400">
                <a:prstDash val="sysDash"/>
              </a:ln>
            </c:spPr>
          </c:dPt>
          <c:val>
            <c:numRef>
              <c:f>'#LN00063'!$M$7:$M$207</c:f>
              <c:numCache>
                <c:formatCode>General</c:formatCode>
                <c:ptCount val="201"/>
                <c:pt idx="0">
                  <c:v>1</c:v>
                </c:pt>
                <c:pt idx="1">
                  <c:v>0.9</c:v>
                </c:pt>
                <c:pt idx="2">
                  <c:v>#N/A</c:v>
                </c:pt>
                <c:pt idx="3">
                  <c:v>#N/A</c:v>
                </c:pt>
                <c:pt idx="4">
                  <c:v>#N/A</c:v>
                </c:pt>
                <c:pt idx="5">
                  <c:v>#N/A</c:v>
                </c:pt>
                <c:pt idx="6">
                  <c:v>#N/A</c:v>
                </c:pt>
                <c:pt idx="7">
                  <c:v>0.8</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0.7</c:v>
                </c:pt>
                <c:pt idx="35">
                  <c:v>#N/A</c:v>
                </c:pt>
                <c:pt idx="36">
                  <c:v>#N/A</c:v>
                </c:pt>
                <c:pt idx="37">
                  <c:v>#N/A</c:v>
                </c:pt>
                <c:pt idx="38">
                  <c:v>#N/A</c:v>
                </c:pt>
                <c:pt idx="39">
                  <c:v>#N/A</c:v>
                </c:pt>
                <c:pt idx="40">
                  <c:v>#N/A</c:v>
                </c:pt>
                <c:pt idx="41">
                  <c:v>#N/A</c:v>
                </c:pt>
                <c:pt idx="42">
                  <c:v>0.6</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0.5</c:v>
                </c:pt>
                <c:pt idx="70">
                  <c:v>#N/A</c:v>
                </c:pt>
                <c:pt idx="71">
                  <c:v>#N/A</c:v>
                </c:pt>
                <c:pt idx="72">
                  <c:v>#N/A</c:v>
                </c:pt>
                <c:pt idx="73">
                  <c:v>#N/A</c:v>
                </c:pt>
                <c:pt idx="74">
                  <c:v>#N/A</c:v>
                </c:pt>
                <c:pt idx="75">
                  <c:v>#N/A</c:v>
                </c:pt>
                <c:pt idx="76">
                  <c:v>#N/A</c:v>
                </c:pt>
                <c:pt idx="77">
                  <c:v>#N/A</c:v>
                </c:pt>
                <c:pt idx="78">
                  <c:v>#N/A</c:v>
                </c:pt>
                <c:pt idx="79">
                  <c:v>#N/A</c:v>
                </c:pt>
                <c:pt idx="80">
                  <c:v>#N/A</c:v>
                </c:pt>
                <c:pt idx="81">
                  <c:v>0.4</c:v>
                </c:pt>
                <c:pt idx="82">
                  <c:v>0.3</c:v>
                </c:pt>
                <c:pt idx="83">
                  <c:v>#N/A</c:v>
                </c:pt>
                <c:pt idx="84">
                  <c:v>#N/A</c:v>
                </c:pt>
                <c:pt idx="85">
                  <c:v>#N/A</c:v>
                </c:pt>
                <c:pt idx="86">
                  <c:v>#N/A</c:v>
                </c:pt>
                <c:pt idx="87">
                  <c:v>#N/A</c:v>
                </c:pt>
                <c:pt idx="88">
                  <c:v>#N/A</c:v>
                </c:pt>
                <c:pt idx="89">
                  <c:v>#N/A</c:v>
                </c:pt>
                <c:pt idx="90">
                  <c:v>#N/A</c:v>
                </c:pt>
                <c:pt idx="91">
                  <c:v>#N/A</c:v>
                </c:pt>
                <c:pt idx="92">
                  <c:v>#N/A</c:v>
                </c:pt>
                <c:pt idx="93">
                  <c:v>#N/A</c:v>
                </c:pt>
                <c:pt idx="94">
                  <c:v>#N/A</c:v>
                </c:pt>
                <c:pt idx="95">
                  <c:v>0.2</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0.1</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0</c:v>
                </c:pt>
              </c:numCache>
            </c:numRef>
          </c:val>
          <c:smooth val="0"/>
        </c:ser>
        <c:ser>
          <c:idx val="5"/>
          <c:order val="3"/>
          <c:tx>
            <c:strRef>
              <c:f>'#LN00063'!$N$6</c:f>
              <c:strCache>
                <c:ptCount val="1"/>
                <c:pt idx="0">
                  <c:v>Other owners (&gt;=100 employees)</c:v>
                </c:pt>
              </c:strCache>
            </c:strRef>
          </c:tx>
          <c:spPr>
            <a:ln w="25400">
              <a:prstDash val="sysDash"/>
            </a:ln>
          </c:spPr>
          <c:marker>
            <c:symbol val="none"/>
          </c:marker>
          <c:val>
            <c:numRef>
              <c:f>'#LN00063'!$N$7:$N$207</c:f>
              <c:numCache>
                <c:formatCode>General</c:formatCode>
                <c:ptCount val="201"/>
                <c:pt idx="0">
                  <c:v>1</c:v>
                </c:pt>
                <c:pt idx="1">
                  <c:v>0.94443999999999995</c:v>
                </c:pt>
                <c:pt idx="2">
                  <c:v>0.93332999999999999</c:v>
                </c:pt>
                <c:pt idx="3">
                  <c:v>0.90556000000000003</c:v>
                </c:pt>
                <c:pt idx="4">
                  <c:v>0.87778</c:v>
                </c:pt>
                <c:pt idx="5">
                  <c:v>0.84443999999999997</c:v>
                </c:pt>
                <c:pt idx="6">
                  <c:v>0.80556000000000005</c:v>
                </c:pt>
                <c:pt idx="7">
                  <c:v>0.77778000000000003</c:v>
                </c:pt>
                <c:pt idx="8">
                  <c:v>0.76110999999999995</c:v>
                </c:pt>
                <c:pt idx="9">
                  <c:v>#N/A</c:v>
                </c:pt>
                <c:pt idx="10">
                  <c:v>0.72777999999999998</c:v>
                </c:pt>
                <c:pt idx="11">
                  <c:v>0.71667000000000003</c:v>
                </c:pt>
                <c:pt idx="12">
                  <c:v>0.70555999999999996</c:v>
                </c:pt>
                <c:pt idx="13">
                  <c:v>0.66666999999999998</c:v>
                </c:pt>
                <c:pt idx="14">
                  <c:v>0.65</c:v>
                </c:pt>
                <c:pt idx="15">
                  <c:v>0.62222</c:v>
                </c:pt>
                <c:pt idx="16">
                  <c:v>0.58889000000000002</c:v>
                </c:pt>
                <c:pt idx="17">
                  <c:v>0.55000000000000004</c:v>
                </c:pt>
                <c:pt idx="18">
                  <c:v>0.51110999999999995</c:v>
                </c:pt>
                <c:pt idx="19">
                  <c:v>0.48332999999999998</c:v>
                </c:pt>
                <c:pt idx="20">
                  <c:v>0.46111000000000002</c:v>
                </c:pt>
                <c:pt idx="21">
                  <c:v>0.44444</c:v>
                </c:pt>
                <c:pt idx="22">
                  <c:v>0.42221999999999998</c:v>
                </c:pt>
                <c:pt idx="23">
                  <c:v>0.41110999999999998</c:v>
                </c:pt>
                <c:pt idx="24">
                  <c:v>0.40555999999999998</c:v>
                </c:pt>
                <c:pt idx="25">
                  <c:v>0.38889000000000001</c:v>
                </c:pt>
                <c:pt idx="26">
                  <c:v>0.37778</c:v>
                </c:pt>
                <c:pt idx="27">
                  <c:v>0.35555999999999999</c:v>
                </c:pt>
                <c:pt idx="28">
                  <c:v>0.34444000000000002</c:v>
                </c:pt>
                <c:pt idx="29">
                  <c:v>0.31667000000000001</c:v>
                </c:pt>
                <c:pt idx="30">
                  <c:v>0.29443999999999998</c:v>
                </c:pt>
                <c:pt idx="31">
                  <c:v>0.28888999999999998</c:v>
                </c:pt>
                <c:pt idx="32">
                  <c:v>0.26111000000000001</c:v>
                </c:pt>
                <c:pt idx="33">
                  <c:v>0.25556000000000001</c:v>
                </c:pt>
                <c:pt idx="34">
                  <c:v>0.23888999999999999</c:v>
                </c:pt>
                <c:pt idx="35">
                  <c:v>0.22222</c:v>
                </c:pt>
                <c:pt idx="36">
                  <c:v>0.21110999999999999</c:v>
                </c:pt>
                <c:pt idx="37">
                  <c:v>0.20555999999999999</c:v>
                </c:pt>
                <c:pt idx="38">
                  <c:v>0.19444</c:v>
                </c:pt>
                <c:pt idx="39">
                  <c:v>0.18332999999999999</c:v>
                </c:pt>
                <c:pt idx="40">
                  <c:v>0.17222000000000001</c:v>
                </c:pt>
                <c:pt idx="41">
                  <c:v>0.13889000000000001</c:v>
                </c:pt>
                <c:pt idx="42">
                  <c:v>#N/A</c:v>
                </c:pt>
                <c:pt idx="43">
                  <c:v>0.13333</c:v>
                </c:pt>
                <c:pt idx="44">
                  <c:v>0.12222</c:v>
                </c:pt>
                <c:pt idx="45">
                  <c:v>#N/A</c:v>
                </c:pt>
                <c:pt idx="46">
                  <c:v>#N/A</c:v>
                </c:pt>
                <c:pt idx="47">
                  <c:v>0.11111</c:v>
                </c:pt>
                <c:pt idx="48">
                  <c:v>0.10556</c:v>
                </c:pt>
                <c:pt idx="49">
                  <c:v>#N/A</c:v>
                </c:pt>
                <c:pt idx="50">
                  <c:v>0.1</c:v>
                </c:pt>
                <c:pt idx="51">
                  <c:v>9.4439999999999996E-2</c:v>
                </c:pt>
                <c:pt idx="52">
                  <c:v>#N/A</c:v>
                </c:pt>
                <c:pt idx="53">
                  <c:v>#N/A</c:v>
                </c:pt>
                <c:pt idx="54">
                  <c:v>8.8889999999999997E-2</c:v>
                </c:pt>
                <c:pt idx="55">
                  <c:v>#N/A</c:v>
                </c:pt>
                <c:pt idx="56">
                  <c:v>#N/A</c:v>
                </c:pt>
                <c:pt idx="57">
                  <c:v>#N/A</c:v>
                </c:pt>
                <c:pt idx="58">
                  <c:v>7.7780000000000002E-2</c:v>
                </c:pt>
                <c:pt idx="59">
                  <c:v>7.2220000000000006E-2</c:v>
                </c:pt>
                <c:pt idx="60">
                  <c:v>#N/A</c:v>
                </c:pt>
                <c:pt idx="61">
                  <c:v>#N/A</c:v>
                </c:pt>
                <c:pt idx="62">
                  <c:v>#N/A</c:v>
                </c:pt>
                <c:pt idx="63">
                  <c:v>#N/A</c:v>
                </c:pt>
                <c:pt idx="64">
                  <c:v>#N/A</c:v>
                </c:pt>
                <c:pt idx="65">
                  <c:v>#N/A</c:v>
                </c:pt>
                <c:pt idx="66">
                  <c:v>6.6669999999999993E-2</c:v>
                </c:pt>
                <c:pt idx="67">
                  <c:v>#N/A</c:v>
                </c:pt>
                <c:pt idx="68">
                  <c:v>#N/A</c:v>
                </c:pt>
                <c:pt idx="69">
                  <c:v>#N/A</c:v>
                </c:pt>
                <c:pt idx="70">
                  <c:v>#N/A</c:v>
                </c:pt>
                <c:pt idx="71">
                  <c:v>6.1109999999999998E-2</c:v>
                </c:pt>
                <c:pt idx="72">
                  <c:v>5.5559999999999998E-2</c:v>
                </c:pt>
                <c:pt idx="73">
                  <c:v>#N/A</c:v>
                </c:pt>
                <c:pt idx="74">
                  <c:v>#N/A</c:v>
                </c:pt>
                <c:pt idx="75">
                  <c:v>4.444E-2</c:v>
                </c:pt>
                <c:pt idx="76">
                  <c:v>3.8890000000000001E-2</c:v>
                </c:pt>
                <c:pt idx="77">
                  <c:v>3.3329999999999999E-2</c:v>
                </c:pt>
                <c:pt idx="78">
                  <c:v>2.7779999999999999E-2</c:v>
                </c:pt>
                <c:pt idx="79">
                  <c:v>2.222E-2</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1.6670000000000001E-2</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1.111E-2</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5.5599999999999998E-3</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0</c:v>
                </c:pt>
              </c:numCache>
            </c:numRef>
          </c:val>
          <c:smooth val="0"/>
        </c:ser>
        <c:ser>
          <c:idx val="2"/>
          <c:order val="4"/>
          <c:tx>
            <c:strRef>
              <c:f>'#LN00063'!$O$6</c:f>
              <c:strCache>
                <c:ptCount val="1"/>
                <c:pt idx="0">
                  <c:v>Foundation-owned (PSM)</c:v>
                </c:pt>
              </c:strCache>
            </c:strRef>
          </c:tx>
          <c:spPr>
            <a:ln w="25400">
              <a:prstDash val="sysDash"/>
            </a:ln>
          </c:spPr>
          <c:marker>
            <c:symbol val="none"/>
          </c:marker>
          <c:val>
            <c:numRef>
              <c:f>'#LN00063'!$O$7:$O$207</c:f>
              <c:numCache>
                <c:formatCode>General</c:formatCode>
                <c:ptCount val="201"/>
                <c:pt idx="0">
                  <c:v>1</c:v>
                </c:pt>
                <c:pt idx="1">
                  <c:v>0.94118000000000002</c:v>
                </c:pt>
                <c:pt idx="2">
                  <c:v>#N/A</c:v>
                </c:pt>
                <c:pt idx="3">
                  <c:v>#N/A</c:v>
                </c:pt>
                <c:pt idx="4">
                  <c:v>#N/A</c:v>
                </c:pt>
                <c:pt idx="5">
                  <c:v>#N/A</c:v>
                </c:pt>
                <c:pt idx="6">
                  <c:v>#N/A</c:v>
                </c:pt>
                <c:pt idx="7">
                  <c:v>0.88234999999999997</c:v>
                </c:pt>
                <c:pt idx="8">
                  <c:v>#N/A</c:v>
                </c:pt>
                <c:pt idx="9">
                  <c:v>#N/A</c:v>
                </c:pt>
                <c:pt idx="10">
                  <c:v>#N/A</c:v>
                </c:pt>
                <c:pt idx="11">
                  <c:v>#N/A</c:v>
                </c:pt>
                <c:pt idx="12">
                  <c:v>#N/A</c:v>
                </c:pt>
                <c:pt idx="13">
                  <c:v>#N/A</c:v>
                </c:pt>
                <c:pt idx="14">
                  <c:v>#N/A</c:v>
                </c:pt>
                <c:pt idx="15">
                  <c:v>#N/A</c:v>
                </c:pt>
                <c:pt idx="16">
                  <c:v>#N/A</c:v>
                </c:pt>
                <c:pt idx="17">
                  <c:v>#N/A</c:v>
                </c:pt>
                <c:pt idx="18">
                  <c:v>0.82352999999999998</c:v>
                </c:pt>
                <c:pt idx="19">
                  <c:v>#N/A</c:v>
                </c:pt>
                <c:pt idx="20">
                  <c:v>#N/A</c:v>
                </c:pt>
                <c:pt idx="21">
                  <c:v>#N/A</c:v>
                </c:pt>
                <c:pt idx="22">
                  <c:v>#N/A</c:v>
                </c:pt>
                <c:pt idx="23">
                  <c:v>#N/A</c:v>
                </c:pt>
                <c:pt idx="24">
                  <c:v>#N/A</c:v>
                </c:pt>
                <c:pt idx="25">
                  <c:v>#N/A</c:v>
                </c:pt>
                <c:pt idx="26">
                  <c:v>#N/A</c:v>
                </c:pt>
                <c:pt idx="27">
                  <c:v>#N/A</c:v>
                </c:pt>
                <c:pt idx="28">
                  <c:v>#N/A</c:v>
                </c:pt>
                <c:pt idx="29">
                  <c:v>#N/A</c:v>
                </c:pt>
                <c:pt idx="30">
                  <c:v>#N/A</c:v>
                </c:pt>
                <c:pt idx="31">
                  <c:v>0.76471</c:v>
                </c:pt>
                <c:pt idx="32">
                  <c:v>#N/A</c:v>
                </c:pt>
                <c:pt idx="33">
                  <c:v>#N/A</c:v>
                </c:pt>
                <c:pt idx="34">
                  <c:v>#N/A</c:v>
                </c:pt>
                <c:pt idx="35">
                  <c:v>#N/A</c:v>
                </c:pt>
                <c:pt idx="36">
                  <c:v>0.70587999999999995</c:v>
                </c:pt>
                <c:pt idx="37">
                  <c:v>#N/A</c:v>
                </c:pt>
                <c:pt idx="38">
                  <c:v>#N/A</c:v>
                </c:pt>
                <c:pt idx="39">
                  <c:v>#N/A</c:v>
                </c:pt>
                <c:pt idx="40">
                  <c:v>#N/A</c:v>
                </c:pt>
                <c:pt idx="41">
                  <c:v>#N/A</c:v>
                </c:pt>
                <c:pt idx="42">
                  <c:v>0.64705999999999997</c:v>
                </c:pt>
                <c:pt idx="43">
                  <c:v>#N/A</c:v>
                </c:pt>
                <c:pt idx="44">
                  <c:v>#N/A</c:v>
                </c:pt>
                <c:pt idx="45">
                  <c:v>#N/A</c:v>
                </c:pt>
                <c:pt idx="46">
                  <c:v>#N/A</c:v>
                </c:pt>
                <c:pt idx="47">
                  <c:v>#N/A</c:v>
                </c:pt>
                <c:pt idx="48">
                  <c:v>#N/A</c:v>
                </c:pt>
                <c:pt idx="49">
                  <c:v>#N/A</c:v>
                </c:pt>
                <c:pt idx="50">
                  <c:v>#N/A</c:v>
                </c:pt>
                <c:pt idx="51">
                  <c:v>#N/A</c:v>
                </c:pt>
                <c:pt idx="52">
                  <c:v>0.58823999999999999</c:v>
                </c:pt>
                <c:pt idx="53">
                  <c:v>#N/A</c:v>
                </c:pt>
                <c:pt idx="54">
                  <c:v>#N/A</c:v>
                </c:pt>
                <c:pt idx="55">
                  <c:v>#N/A</c:v>
                </c:pt>
                <c:pt idx="56">
                  <c:v>#N/A</c:v>
                </c:pt>
                <c:pt idx="57">
                  <c:v>#N/A</c:v>
                </c:pt>
                <c:pt idx="58">
                  <c:v>#N/A</c:v>
                </c:pt>
                <c:pt idx="59">
                  <c:v>#N/A</c:v>
                </c:pt>
                <c:pt idx="60">
                  <c:v>#N/A</c:v>
                </c:pt>
                <c:pt idx="61">
                  <c:v>#N/A</c:v>
                </c:pt>
                <c:pt idx="62">
                  <c:v>#N/A</c:v>
                </c:pt>
                <c:pt idx="63">
                  <c:v>0.52941000000000005</c:v>
                </c:pt>
                <c:pt idx="64">
                  <c:v>#N/A</c:v>
                </c:pt>
                <c:pt idx="65">
                  <c:v>#N/A</c:v>
                </c:pt>
                <c:pt idx="66">
                  <c:v>#N/A</c:v>
                </c:pt>
                <c:pt idx="67">
                  <c:v>#N/A</c:v>
                </c:pt>
                <c:pt idx="68">
                  <c:v>#N/A</c:v>
                </c:pt>
                <c:pt idx="69">
                  <c:v>0.47059000000000001</c:v>
                </c:pt>
                <c:pt idx="70">
                  <c:v>#N/A</c:v>
                </c:pt>
                <c:pt idx="71">
                  <c:v>#N/A</c:v>
                </c:pt>
                <c:pt idx="72">
                  <c:v>#N/A</c:v>
                </c:pt>
                <c:pt idx="73">
                  <c:v>#N/A</c:v>
                </c:pt>
                <c:pt idx="74">
                  <c:v>#N/A</c:v>
                </c:pt>
                <c:pt idx="75">
                  <c:v>#N/A</c:v>
                </c:pt>
                <c:pt idx="76">
                  <c:v>#N/A</c:v>
                </c:pt>
                <c:pt idx="77">
                  <c:v>#N/A</c:v>
                </c:pt>
                <c:pt idx="78">
                  <c:v>#N/A</c:v>
                </c:pt>
                <c:pt idx="79">
                  <c:v>#N/A</c:v>
                </c:pt>
                <c:pt idx="80">
                  <c:v>#N/A</c:v>
                </c:pt>
                <c:pt idx="81">
                  <c:v>0.41176000000000001</c:v>
                </c:pt>
                <c:pt idx="82">
                  <c:v>0.35293999999999998</c:v>
                </c:pt>
                <c:pt idx="83">
                  <c:v>#N/A</c:v>
                </c:pt>
                <c:pt idx="84">
                  <c:v>#N/A</c:v>
                </c:pt>
                <c:pt idx="85">
                  <c:v>#N/A</c:v>
                </c:pt>
                <c:pt idx="86">
                  <c:v>#N/A</c:v>
                </c:pt>
                <c:pt idx="87">
                  <c:v>#N/A</c:v>
                </c:pt>
                <c:pt idx="88">
                  <c:v>#N/A</c:v>
                </c:pt>
                <c:pt idx="89">
                  <c:v>0.29411999999999999</c:v>
                </c:pt>
                <c:pt idx="90">
                  <c:v>#N/A</c:v>
                </c:pt>
                <c:pt idx="91">
                  <c:v>#N/A</c:v>
                </c:pt>
                <c:pt idx="92">
                  <c:v>#N/A</c:v>
                </c:pt>
                <c:pt idx="93">
                  <c:v>#N/A</c:v>
                </c:pt>
                <c:pt idx="94">
                  <c:v>#N/A</c:v>
                </c:pt>
                <c:pt idx="95">
                  <c:v>0.23529</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0.17646999999999999</c:v>
                </c:pt>
                <c:pt idx="111">
                  <c:v>#N/A</c:v>
                </c:pt>
                <c:pt idx="112">
                  <c:v>#N/A</c:v>
                </c:pt>
                <c:pt idx="113">
                  <c:v>#N/A</c:v>
                </c:pt>
                <c:pt idx="114">
                  <c:v>0.11765</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5.8819999999999997E-2</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0</c:v>
                </c:pt>
              </c:numCache>
            </c:numRef>
          </c:val>
          <c:smooth val="0"/>
        </c:ser>
        <c:ser>
          <c:idx val="3"/>
          <c:order val="5"/>
          <c:tx>
            <c:strRef>
              <c:f>'#LN00063'!$P$6</c:f>
              <c:strCache>
                <c:ptCount val="1"/>
                <c:pt idx="0">
                  <c:v>Other owners (PSM)</c:v>
                </c:pt>
              </c:strCache>
            </c:strRef>
          </c:tx>
          <c:spPr>
            <a:ln w="25400">
              <a:prstDash val="sysDash"/>
            </a:ln>
          </c:spPr>
          <c:marker>
            <c:symbol val="none"/>
          </c:marker>
          <c:val>
            <c:numRef>
              <c:f>'#LN00063'!$P$7:$P$207</c:f>
              <c:numCache>
                <c:formatCode>General</c:formatCode>
                <c:ptCount val="201"/>
                <c:pt idx="0">
                  <c:v>1</c:v>
                </c:pt>
                <c:pt idx="1">
                  <c:v>0.88234999999999997</c:v>
                </c:pt>
                <c:pt idx="2">
                  <c:v>#N/A</c:v>
                </c:pt>
                <c:pt idx="3">
                  <c:v>0.82352999999999998</c:v>
                </c:pt>
                <c:pt idx="4">
                  <c:v>0.79412000000000005</c:v>
                </c:pt>
                <c:pt idx="5">
                  <c:v>0.70587999999999995</c:v>
                </c:pt>
                <c:pt idx="6">
                  <c:v>0.67647000000000002</c:v>
                </c:pt>
                <c:pt idx="7">
                  <c:v>0.64705999999999997</c:v>
                </c:pt>
                <c:pt idx="8">
                  <c:v>#N/A</c:v>
                </c:pt>
                <c:pt idx="9">
                  <c:v>#N/A</c:v>
                </c:pt>
                <c:pt idx="10">
                  <c:v>0.61765000000000003</c:v>
                </c:pt>
                <c:pt idx="11">
                  <c:v>0.55881999999999998</c:v>
                </c:pt>
                <c:pt idx="12">
                  <c:v>0.52941000000000005</c:v>
                </c:pt>
                <c:pt idx="13">
                  <c:v>#N/A</c:v>
                </c:pt>
                <c:pt idx="14">
                  <c:v>#N/A</c:v>
                </c:pt>
                <c:pt idx="15">
                  <c:v>0.5</c:v>
                </c:pt>
                <c:pt idx="16">
                  <c:v>#N/A</c:v>
                </c:pt>
                <c:pt idx="17">
                  <c:v>0.47059000000000001</c:v>
                </c:pt>
                <c:pt idx="18">
                  <c:v>0.44118000000000002</c:v>
                </c:pt>
                <c:pt idx="19">
                  <c:v>#N/A</c:v>
                </c:pt>
                <c:pt idx="20">
                  <c:v>#N/A</c:v>
                </c:pt>
                <c:pt idx="21">
                  <c:v>0.41176000000000001</c:v>
                </c:pt>
                <c:pt idx="22">
                  <c:v>0.38235000000000002</c:v>
                </c:pt>
                <c:pt idx="23">
                  <c:v>#N/A</c:v>
                </c:pt>
                <c:pt idx="24">
                  <c:v>0.35293999999999998</c:v>
                </c:pt>
                <c:pt idx="25">
                  <c:v>#N/A</c:v>
                </c:pt>
                <c:pt idx="26">
                  <c:v>0.32352999999999998</c:v>
                </c:pt>
                <c:pt idx="27">
                  <c:v>0.29411999999999999</c:v>
                </c:pt>
                <c:pt idx="28">
                  <c:v>#N/A</c:v>
                </c:pt>
                <c:pt idx="29">
                  <c:v>#N/A</c:v>
                </c:pt>
                <c:pt idx="30">
                  <c:v>0.23529</c:v>
                </c:pt>
                <c:pt idx="31">
                  <c:v>#N/A</c:v>
                </c:pt>
                <c:pt idx="32">
                  <c:v>0.17646999999999999</c:v>
                </c:pt>
                <c:pt idx="33">
                  <c:v>#N/A</c:v>
                </c:pt>
                <c:pt idx="34">
                  <c:v>0.11765</c:v>
                </c:pt>
                <c:pt idx="35">
                  <c:v>8.8239999999999999E-2</c:v>
                </c:pt>
                <c:pt idx="36">
                  <c:v>#N/A</c:v>
                </c:pt>
                <c:pt idx="37">
                  <c:v>#N/A</c:v>
                </c:pt>
                <c:pt idx="38">
                  <c:v>#N/A</c:v>
                </c:pt>
                <c:pt idx="39">
                  <c:v>#N/A</c:v>
                </c:pt>
                <c:pt idx="40">
                  <c:v>#N/A</c:v>
                </c:pt>
                <c:pt idx="41">
                  <c:v>5.8819999999999997E-2</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2.9409999999999999E-2</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0</c:v>
                </c:pt>
              </c:numCache>
            </c:numRef>
          </c:val>
          <c:smooth val="0"/>
        </c:ser>
        <c:dLbls>
          <c:showLegendKey val="0"/>
          <c:showVal val="0"/>
          <c:showCatName val="0"/>
          <c:showSerName val="0"/>
          <c:showPercent val="0"/>
          <c:showBubbleSize val="0"/>
        </c:dLbls>
        <c:marker val="1"/>
        <c:smooth val="0"/>
        <c:axId val="175733760"/>
        <c:axId val="175744128"/>
      </c:lineChart>
      <c:catAx>
        <c:axId val="175733760"/>
        <c:scaling>
          <c:orientation val="minMax"/>
        </c:scaling>
        <c:delete val="0"/>
        <c:axPos val="b"/>
        <c:title>
          <c:tx>
            <c:rich>
              <a:bodyPr/>
              <a:lstStyle/>
              <a:p>
                <a:pPr>
                  <a:defRPr/>
                </a:pPr>
                <a:r>
                  <a:rPr lang="en-US"/>
                  <a:t>Firm age</a:t>
                </a:r>
              </a:p>
            </c:rich>
          </c:tx>
          <c:overlay val="0"/>
        </c:title>
        <c:numFmt formatCode="General" sourceLinked="1"/>
        <c:majorTickMark val="in"/>
        <c:minorTickMark val="none"/>
        <c:tickLblPos val="nextTo"/>
        <c:crossAx val="175744128"/>
        <c:crosses val="autoZero"/>
        <c:auto val="1"/>
        <c:lblAlgn val="ctr"/>
        <c:lblOffset val="100"/>
        <c:tickLblSkip val="10"/>
        <c:tickMarkSkip val="10"/>
        <c:noMultiLvlLbl val="0"/>
      </c:catAx>
      <c:valAx>
        <c:axId val="175744128"/>
        <c:scaling>
          <c:orientation val="minMax"/>
          <c:max val="1"/>
        </c:scaling>
        <c:delete val="0"/>
        <c:axPos val="l"/>
        <c:majorGridlines/>
        <c:title>
          <c:tx>
            <c:rich>
              <a:bodyPr rot="-5400000" vert="horz"/>
              <a:lstStyle/>
              <a:p>
                <a:pPr>
                  <a:defRPr/>
                </a:pPr>
                <a:r>
                  <a:rPr lang="en-US"/>
                  <a:t>Survivl probability</a:t>
                </a:r>
              </a:p>
            </c:rich>
          </c:tx>
          <c:layout>
            <c:manualLayout>
              <c:xMode val="edge"/>
              <c:yMode val="edge"/>
              <c:x val="2.2222222222222199E-2"/>
              <c:y val="0.18097404491105301"/>
            </c:manualLayout>
          </c:layout>
          <c:overlay val="0"/>
        </c:title>
        <c:numFmt formatCode="#,##0.0" sourceLinked="0"/>
        <c:majorTickMark val="in"/>
        <c:minorTickMark val="none"/>
        <c:tickLblPos val="nextTo"/>
        <c:crossAx val="175733760"/>
        <c:crosses val="autoZero"/>
        <c:crossBetween val="between"/>
      </c:valAx>
      <c:spPr>
        <a:ln>
          <a:solidFill>
            <a:schemeClr val="bg1">
              <a:lumMod val="50000"/>
            </a:schemeClr>
          </a:solidFill>
        </a:ln>
      </c:spPr>
    </c:plotArea>
    <c:legend>
      <c:legendPos val="b"/>
      <c:overlay val="0"/>
    </c:legend>
    <c:plotVisOnly val="1"/>
    <c:dispBlanksAs val="gap"/>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Chr73</b:Tag>
    <b:SourceType>JournalArticle</b:SourceType>
    <b:Guid>{F405CB0F-2745-4C48-8BEF-4FBD7194CD67}</b:Guid>
    <b:Author>
      <b:Author>
        <b:NameList>
          <b:Person>
            <b:Last>Christensen</b:Last>
            <b:First>L.R.</b:First>
          </b:Person>
          <b:Person>
            <b:Last>Jorgenson</b:Last>
            <b:First>D.W.</b:First>
          </b:Person>
          <b:Person>
            <b:Last>Lau</b:Last>
            <b:First>L.J.</b:First>
          </b:Person>
        </b:NameList>
      </b:Author>
    </b:Author>
    <b:Title>Trandscendental Logarithmic Production Functions</b:Title>
    <b:JournalName>The Review of Economics and Statistics</b:JournalName>
    <b:Year>1973</b:Year>
    <b:Pages>28-45</b:Pages>
    <b:RefOrder>1</b:RefOrder>
  </b:Source>
  <b:Source>
    <b:Tag>Cab90</b:Tag>
    <b:SourceType>JournalArticle</b:SourceType>
    <b:Guid>{B56EBB14-6B1E-4A88-B4DE-96090AADB997}</b:Guid>
    <b:Author>
      <b:Author>
        <b:NameList>
          <b:Person>
            <b:Last>Caballero</b:Last>
            <b:First>Ricardo</b:First>
            <b:Middle>J.</b:Middle>
          </b:Person>
          <b:Person>
            <b:Last>Lyons</b:Last>
            <b:First>R.K.</b:First>
          </b:Person>
        </b:NameList>
      </b:Author>
    </b:Author>
    <b:Title>Internal versus External Economies in European industry</b:Title>
    <b:JournalName>European Economic Review</b:JournalName>
    <b:Year>1990</b:Year>
    <b:Pages>805-826</b:Pages>
    <b:RefOrder>2</b:RefOrder>
  </b:Source>
  <b:Source>
    <b:Tag>Hav11</b:Tag>
    <b:SourceType>JournalArticle</b:SourceType>
    <b:Guid>{A82E2480-DF5F-4242-9C50-676568520D89}</b:Guid>
    <b:Author>
      <b:Author>
        <b:NameList>
          <b:Person>
            <b:Last>Havranek</b:Last>
          </b:Person>
          <b:Person>
            <b:Last>T.</b:Last>
          </b:Person>
          <b:Person>
            <b:Last>Irsova</b:Last>
            <b:First>Z.</b:First>
          </b:Person>
        </b:NameList>
      </b:Author>
    </b:Author>
    <b:Title>Estimating vertical spillovers from FDI: Why results vary and what the true effect is</b:Title>
    <b:JournalName>Journal of International Economics</b:JournalName>
    <b:Year>2011</b:Year>
    <b:Pages>234–244</b:Pages>
    <b:RefOrder>3</b:RefOrder>
  </b:Source>
  <b:Source>
    <b:Tag>Gör04</b:Tag>
    <b:SourceType>JournalArticle</b:SourceType>
    <b:Guid>{A0989F3A-82AC-4576-92F9-C0B5AB5FE701}</b:Guid>
    <b:Author>
      <b:Author>
        <b:NameList>
          <b:Person>
            <b:Last>Görg</b:Last>
            <b:First>H.</b:First>
          </b:Person>
          <b:Person>
            <b:Last>Greenaway</b:Last>
            <b:First>D.</b:First>
          </b:Person>
        </b:NameList>
      </b:Author>
    </b:Author>
    <b:Title>Much ado about nothing? Do domestic firms really benefit from foreign direct investment?</b:Title>
    <b:JournalName>World Bank Research Observer</b:JournalName>
    <b:Year>2004</b:Year>
    <b:Pages>171-197</b:Pages>
    <b:RefOrder>4</b:RefOrder>
  </b:Source>
  <b:Source>
    <b:Tag>Sme08</b:Tag>
    <b:SourceType>JournalArticle</b:SourceType>
    <b:Guid>{FC42D9FE-BF4D-4C07-B414-8E5EE4B94F15}</b:Guid>
    <b:Author>
      <b:Author>
        <b:NameList>
          <b:Person>
            <b:Last>Smeets</b:Last>
            <b:First>R.</b:First>
          </b:Person>
        </b:NameList>
      </b:Author>
    </b:Author>
    <b:Title>Collecting the pieces of the FDI knowledge spillovers puzzle</b:Title>
    <b:JournalName>World Bank Research Observer</b:JournalName>
    <b:Year>2008</b:Year>
    <b:Pages>107-138</b:Pages>
    <b:RefOrder>5</b:RefOrder>
  </b:Source>
  <b:Source>
    <b:Tag>Kam13</b:Tag>
    <b:SourceType>JournalArticle</b:SourceType>
    <b:Guid>{5319EEEF-83FB-4D26-A2E1-EFB4F6DB7814}</b:Guid>
    <b:Author>
      <b:Author>
        <b:NameList>
          <b:Person>
            <b:Last>Kamal</b:Last>
            <b:First>F.</b:First>
          </b:Person>
        </b:NameList>
      </b:Author>
    </b:Author>
    <b:Title>Does Firm Ownership Affect Spillover Opportunities? Evidence from Chinese Manufacturing</b:Title>
    <b:JournalName>Journal of Regional Science, forthcoming</b:JournalName>
    <b:Year>2013</b:Year>
    <b:RefOrder>6</b:RefOrder>
  </b:Source>
</b:Sources>
</file>

<file path=customXml/itemProps1.xml><?xml version="1.0" encoding="utf-8"?>
<ds:datastoreItem xmlns:ds="http://schemas.openxmlformats.org/officeDocument/2006/customXml" ds:itemID="{EBA5C0B2-F911-4355-AAB5-8F83D72F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5097</Words>
  <Characters>29056</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Steen Thomsen</cp:lastModifiedBy>
  <cp:revision>3</cp:revision>
  <cp:lastPrinted>2013-12-02T08:41:00Z</cp:lastPrinted>
  <dcterms:created xsi:type="dcterms:W3CDTF">2014-05-30T13:59:00Z</dcterms:created>
  <dcterms:modified xsi:type="dcterms:W3CDTF">2014-05-30T13:59:00Z</dcterms:modified>
</cp:coreProperties>
</file>